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b w:val="1"/>
                <w:bCs w:val="1"/>
                <w:color w:val="auto"/>
                <w:w w:val="89"/>
              </w:rPr>
              <w:t>Commission File No. 001-37986</w:t>
            </w:r>
          </w:p>
        </w:tc>
      </w:tr>
      <w:tr>
        <w:trPr>
          <w:trHeight w:val="396"/>
        </w:trPr>
        <w:tc>
          <w:tcPr>
            <w:tcW w:w="11240" w:type="dxa"/>
            <w:vAlign w:val="bottom"/>
            <w:gridSpan w:val="8"/>
          </w:tcPr>
          <w:p>
            <w:pPr>
              <w:jc w:val="center"/>
              <w:spacing w:after="0"/>
              <w:rPr>
                <w:sz w:val="20"/>
                <w:szCs w:val="20"/>
                <w:color w:val="auto"/>
              </w:rPr>
            </w:pPr>
            <w:r>
              <w:rPr>
                <w:rFonts w:ascii="Arial" w:cs="Arial" w:eastAsia="Arial" w:hAnsi="Arial"/>
                <w:sz w:val="29"/>
                <w:szCs w:val="29"/>
                <w:b w:val="1"/>
                <w:bCs w:val="1"/>
                <w:color w:val="auto"/>
              </w:rPr>
              <w:t>INTERNATIONAL MONEY EXPRESS, INC.</w:t>
            </w:r>
          </w:p>
        </w:tc>
      </w:tr>
      <w:tr>
        <w:trPr>
          <w:trHeight w:val="43"/>
        </w:trPr>
        <w:tc>
          <w:tcPr>
            <w:tcW w:w="33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gridSpan w:val="5"/>
          </w:tcPr>
          <w:p>
            <w:pPr>
              <w:spacing w:after="0"/>
              <w:rPr>
                <w:sz w:val="3"/>
                <w:szCs w:val="3"/>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00"/>
        </w:trPr>
        <w:tc>
          <w:tcPr>
            <w:tcW w:w="3380" w:type="dxa"/>
            <w:vAlign w:val="bottom"/>
          </w:tcPr>
          <w:p>
            <w:pPr>
              <w:jc w:val="center"/>
              <w:ind w:left="1943"/>
              <w:spacing w:after="0"/>
              <w:rPr>
                <w:sz w:val="20"/>
                <w:szCs w:val="20"/>
                <w:color w:val="auto"/>
              </w:rPr>
            </w:pPr>
            <w:r>
              <w:rPr>
                <w:rFonts w:ascii="Arial" w:cs="Arial" w:eastAsia="Arial" w:hAnsi="Arial"/>
                <w:sz w:val="18"/>
                <w:szCs w:val="18"/>
                <w:b w:val="1"/>
                <w:bCs w:val="1"/>
                <w:color w:val="auto"/>
                <w:w w:val="93"/>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47-4219082</w:t>
            </w: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r>
      <w:tr>
        <w:trPr>
          <w:trHeight w:val="243"/>
        </w:trPr>
        <w:tc>
          <w:tcPr>
            <w:tcW w:w="6680" w:type="dxa"/>
            <w:vAlign w:val="bottom"/>
            <w:gridSpan w:val="5"/>
          </w:tcPr>
          <w:p>
            <w:pPr>
              <w:jc w:val="center"/>
              <w:ind w:right="1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(I.R.S. Employer Identification No.)</w:t>
            </w:r>
          </w:p>
        </w:tc>
      </w:tr>
      <w:tr>
        <w:trPr>
          <w:trHeight w:val="257"/>
        </w:trPr>
        <w:tc>
          <w:tcPr>
            <w:tcW w:w="668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w w:val="90"/>
              </w:rPr>
              <w:t>9480 South Dixie Highway</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50"/>
        </w:trPr>
        <w:tc>
          <w:tcPr>
            <w:tcW w:w="3380" w:type="dxa"/>
            <w:vAlign w:val="bottom"/>
            <w:tcBorders>
              <w:bottom w:val="single" w:sz="8" w:color="auto"/>
            </w:tcBorders>
          </w:tcPr>
          <w:p>
            <w:pPr>
              <w:jc w:val="center"/>
              <w:ind w:left="1943"/>
              <w:spacing w:after="0"/>
              <w:rPr>
                <w:sz w:val="20"/>
                <w:szCs w:val="20"/>
                <w:color w:val="auto"/>
              </w:rPr>
            </w:pPr>
            <w:r>
              <w:rPr>
                <w:rFonts w:ascii="Arial" w:cs="Arial" w:eastAsia="Arial" w:hAnsi="Arial"/>
                <w:sz w:val="18"/>
                <w:szCs w:val="18"/>
                <w:b w:val="1"/>
                <w:bCs w:val="1"/>
                <w:color w:val="auto"/>
                <w:w w:val="97"/>
              </w:rPr>
              <w:t>Miami, Florida</w:t>
            </w:r>
          </w:p>
        </w:tc>
        <w:tc>
          <w:tcPr>
            <w:tcW w:w="20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3"/>
          </w:tcPr>
          <w:p>
            <w:pPr>
              <w:jc w:val="right"/>
              <w:ind w:right="2390"/>
              <w:spacing w:after="0"/>
              <w:rPr>
                <w:sz w:val="20"/>
                <w:szCs w:val="20"/>
                <w:color w:val="auto"/>
              </w:rPr>
            </w:pPr>
            <w:r>
              <w:rPr>
                <w:rFonts w:ascii="Arial" w:cs="Arial" w:eastAsia="Arial" w:hAnsi="Arial"/>
                <w:sz w:val="18"/>
                <w:szCs w:val="18"/>
                <w:b w:val="1"/>
                <w:bCs w:val="1"/>
                <w:color w:val="auto"/>
              </w:rPr>
              <w:t>33156</w:t>
            </w:r>
          </w:p>
        </w:tc>
      </w:tr>
      <w:tr>
        <w:trPr>
          <w:trHeight w:val="230"/>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(Zip Code)</w:t>
            </w:r>
          </w:p>
        </w:tc>
      </w:tr>
      <w:tr>
        <w:trPr>
          <w:trHeight w:val="364"/>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0"/>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621"/>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70"/>
        </w:trPr>
        <w:tc>
          <w:tcPr>
            <w:tcW w:w="3380" w:type="dxa"/>
            <w:vAlign w:val="bottom"/>
          </w:tcPr>
          <w:p>
            <w:pPr>
              <w:jc w:val="center"/>
              <w:ind w:left="463"/>
              <w:spacing w:after="0"/>
              <w:rPr>
                <w:sz w:val="20"/>
                <w:szCs w:val="20"/>
                <w:color w:val="auto"/>
              </w:rPr>
            </w:pPr>
            <w:r>
              <w:rPr>
                <w:rFonts w:ascii="Arial" w:cs="Arial" w:eastAsia="Arial" w:hAnsi="Arial"/>
                <w:sz w:val="18"/>
                <w:szCs w:val="18"/>
                <w:b w:val="1"/>
                <w:bCs w:val="1"/>
                <w:color w:val="auto"/>
                <w:w w:val="86"/>
              </w:rPr>
              <w:t>Title of each class</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0"/>
        </w:trPr>
        <w:tc>
          <w:tcPr>
            <w:tcW w:w="3380" w:type="dxa"/>
            <w:vAlign w:val="bottom"/>
          </w:tcPr>
          <w:p>
            <w:pPr>
              <w:jc w:val="center"/>
              <w:ind w:left="443"/>
              <w:spacing w:after="0"/>
              <w:rPr>
                <w:sz w:val="20"/>
                <w:szCs w:val="20"/>
                <w:color w:val="auto"/>
              </w:rPr>
            </w:pPr>
            <w:r>
              <w:rPr>
                <w:rFonts w:ascii="Arial" w:cs="Arial" w:eastAsia="Arial" w:hAnsi="Arial"/>
                <w:sz w:val="18"/>
                <w:szCs w:val="18"/>
                <w:color w:val="auto"/>
                <w:w w:val="91"/>
              </w:rPr>
              <w:t>Common stock ($0.0001 par value)</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color w:val="auto"/>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Arial" w:cs="Arial" w:eastAsia="Arial" w:hAnsi="Arial"/>
                <w:sz w:val="18"/>
                <w:szCs w:val="18"/>
                <w:color w:val="auto"/>
              </w:rPr>
              <w:t>Nasdaq Capital Market</w:t>
            </w:r>
          </w:p>
        </w:tc>
      </w:tr>
    </w:tbl>
    <w:p>
      <w:pPr>
        <w:spacing w:after="0" w:line="200" w:lineRule="exact"/>
        <w:rPr>
          <w:sz w:val="24"/>
          <w:szCs w:val="24"/>
          <w:color w:val="auto"/>
        </w:rPr>
      </w:pPr>
    </w:p>
    <w:p>
      <w:pPr>
        <w:spacing w:after="0" w:line="33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063" w:gutter="0" w:footer="0" w:header="0"/>
        </w:sectPr>
      </w:pPr>
    </w:p>
    <w:p>
      <w:pPr>
        <w:spacing w:after="0" w:line="232" w:lineRule="exact"/>
        <w:rPr>
          <w:sz w:val="24"/>
          <w:szCs w:val="24"/>
          <w:color w:val="auto"/>
        </w:rPr>
      </w:pPr>
    </w:p>
    <w:p>
      <w:pPr>
        <w:ind w:left="8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37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194" w:lineRule="exact"/>
        <w:rPr>
          <w:sz w:val="24"/>
          <w:szCs w:val="24"/>
          <w:color w:val="auto"/>
        </w:rPr>
      </w:pPr>
    </w:p>
    <w:p>
      <w:pPr>
        <w:sectPr>
          <w:pgSz w:w="11900" w:h="16838" w:orient="portrait"/>
          <w:cols w:equalWidth="0" w:num="2">
            <w:col w:w="5420" w:space="720"/>
            <w:col w:w="5100"/>
          </w:cols>
          <w:pgMar w:left="320" w:top="233" w:right="339" w:bottom="1063" w:gutter="0" w:footer="0" w:header="0"/>
          <w:type w:val="continuous"/>
        </w:sectPr>
      </w:pPr>
    </w:p>
    <w:p>
      <w:pPr>
        <w:ind w:left="8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94" w:lineRule="exact"/>
        <w:rPr>
          <w:sz w:val="24"/>
          <w:szCs w:val="24"/>
          <w:color w:val="auto"/>
        </w:rPr>
      </w:pPr>
    </w:p>
    <w:p>
      <w:pPr>
        <w:sectPr>
          <w:pgSz w:w="11900" w:h="16838" w:orient="portrait"/>
          <w:cols w:equalWidth="0" w:num="2">
            <w:col w:w="5420" w:space="720"/>
            <w:col w:w="5100"/>
          </w:cols>
          <w:pgMar w:left="320" w:top="233" w:right="339" w:bottom="1063" w:gutter="0" w:footer="0" w:header="0"/>
          <w:type w:val="continuous"/>
        </w:sectPr>
      </w:pPr>
    </w:p>
    <w:p>
      <w:pPr>
        <w:ind w:left="6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ectPr>
          <w:pgSz w:w="11900" w:h="16838" w:orient="portrait"/>
          <w:cols w:equalWidth="0" w:num="1">
            <w:col w:w="11240"/>
          </w:cols>
          <w:pgMar w:left="320" w:top="233" w:right="339" w:bottom="1063"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As of November 3, 2022, there were 37,062,438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06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SPECIAL NOTE REGARDING FORWARD-LOOKING STATEMENTS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79"/>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tcBorders>
              <w:top w:val="single" w:sz="8" w:color="0000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2"/>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79"/>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Balance Sheets as of September 30, 2022 and December 31, 2021</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79"/>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6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6"/>
              </w:rPr>
              <w:t>Condensed Consolidated Statements of Income and Comprehensive Income for the Three and Nine</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0000FF"/>
                <w:w w:val="79"/>
              </w:rPr>
              <w:t>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140" w:type="dxa"/>
            <w:vAlign w:val="bottom"/>
            <w:tcBorders>
              <w:top w:val="single" w:sz="8" w:color="0000FF"/>
            </w:tcBorders>
            <w:gridSpan w:val="18"/>
            <w:shd w:val="clear" w:color="auto" w:fill="CCEEFF"/>
          </w:tcPr>
          <w:p>
            <w:pPr>
              <w:spacing w:after="0" w:line="142" w:lineRule="exact"/>
              <w:rPr>
                <w:sz w:val="20"/>
                <w:szCs w:val="20"/>
                <w:color w:val="auto"/>
              </w:rPr>
            </w:pPr>
            <w:r>
              <w:rPr>
                <w:rFonts w:ascii="Arial" w:cs="Arial" w:eastAsia="Arial" w:hAnsi="Arial"/>
                <w:sz w:val="16"/>
                <w:szCs w:val="16"/>
                <w:color w:val="0000FF"/>
              </w:rPr>
              <w:t>Months Ended September 30, 2022 and 2021</w:t>
            </w:r>
          </w:p>
        </w:tc>
        <w:tc>
          <w:tcPr>
            <w:tcW w:w="3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2"/>
              </w:rPr>
              <w:t>Condensed Consolidated Statements of Changes in Stockholders’ Equity for the Three and Nine Months</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0000FF"/>
                <w:w w:val="79"/>
              </w:rPr>
              <w:t>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2640" w:type="dxa"/>
            <w:vAlign w:val="bottom"/>
            <w:tcBorders>
              <w:top w:val="single" w:sz="8" w:color="0000FF"/>
              <w:bottom w:val="single" w:sz="8" w:color="0000FF"/>
            </w:tcBorders>
            <w:gridSpan w:val="10"/>
            <w:shd w:val="clear" w:color="auto" w:fill="CCEEFF"/>
          </w:tcPr>
          <w:p>
            <w:pPr>
              <w:spacing w:after="0" w:line="142" w:lineRule="exact"/>
              <w:rPr>
                <w:sz w:val="20"/>
                <w:szCs w:val="20"/>
                <w:color w:val="auto"/>
              </w:rPr>
            </w:pPr>
            <w:r>
              <w:rPr>
                <w:rFonts w:ascii="Arial" w:cs="Arial" w:eastAsia="Arial" w:hAnsi="Arial"/>
                <w:sz w:val="16"/>
                <w:szCs w:val="16"/>
                <w:color w:val="0000FF"/>
                <w:w w:val="98"/>
              </w:rPr>
              <w:t>Ended September 30, 2022 and 2021</w:t>
            </w:r>
          </w:p>
        </w:tc>
        <w:tc>
          <w:tcPr>
            <w:tcW w:w="13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08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1"/>
              </w:rPr>
              <w:t>Condensed Consolidated Statements of Cash Flows for the Nine Months Ended September 30, 2022 and</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0000FF"/>
                <w:w w:val="79"/>
              </w:rPr>
              <w:t>8</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0000FF"/>
            </w:tcBorders>
            <w:gridSpan w:val="3"/>
            <w:shd w:val="clear" w:color="auto" w:fill="CCEEFF"/>
          </w:tcPr>
          <w:p>
            <w:pPr>
              <w:spacing w:after="0" w:line="142" w:lineRule="exact"/>
              <w:rPr>
                <w:sz w:val="20"/>
                <w:szCs w:val="20"/>
                <w:color w:val="auto"/>
              </w:rPr>
            </w:pPr>
            <w:r>
              <w:rPr>
                <w:rFonts w:ascii="Arial" w:cs="Arial" w:eastAsia="Arial" w:hAnsi="Arial"/>
                <w:sz w:val="16"/>
                <w:szCs w:val="16"/>
                <w:color w:val="0000FF"/>
              </w:rPr>
              <w:t>2021</w:t>
            </w:r>
          </w:p>
        </w:tc>
        <w:tc>
          <w:tcPr>
            <w:tcW w:w="30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40" w:type="dxa"/>
            <w:vAlign w:val="bottom"/>
            <w:tcBorders>
              <w:top w:val="single" w:sz="8" w:color="0000FF"/>
            </w:tcBorders>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164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64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3.</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87"/>
              </w:rPr>
              <w:t>Controls and Procedures</w:t>
            </w:r>
          </w:p>
        </w:tc>
        <w:tc>
          <w:tcPr>
            <w:tcW w:w="5980" w:type="dxa"/>
            <w:vAlign w:val="bottom"/>
            <w:tcBorders>
              <w:bottom w:val="single" w:sz="8" w:color="CCEEFF"/>
            </w:tcBorders>
            <w:gridSpan w:val="14"/>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2"/>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1A.</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3.</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5.</w:t>
            </w:r>
          </w:p>
        </w:tc>
        <w:tc>
          <w:tcPr>
            <w:tcW w:w="774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91"/>
              </w:rPr>
              <w:t>Exhibits</w:t>
            </w:r>
          </w:p>
        </w:tc>
        <w:tc>
          <w:tcPr>
            <w:tcW w:w="7140" w:type="dxa"/>
            <w:vAlign w:val="bottom"/>
            <w:tcBorders>
              <w:bottom w:val="single" w:sz="8" w:color="CCEEFF"/>
            </w:tcBorders>
            <w:gridSpan w:val="18"/>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8"/>
        </w:trPr>
        <w:tc>
          <w:tcPr>
            <w:tcW w:w="6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6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business of the Company.</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expected or implied by such forward-looking statements and could materially adversely affect our business, financial condition, results of operation, cash flows and liquidity. Factors that could cause or contribute to such differences include, but are not limited to, the following:</w:t>
      </w:r>
    </w:p>
    <w:p>
      <w:pPr>
        <w:spacing w:after="0" w:line="19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successfully execute, manage, integrate and obtain the anticipated financial benefits of key acquisitions and mergers, including the acquisition of Envios de Valores La Nacional Corp. and LAN Holdings, Corp.;</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economic factors such as inflation, the level of economic activity and labor market conditions, as well as rising interest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health conditions, responses thereto and the economic and market effects thereof;</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favorable agent relationships;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financial institution illiquidity;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such as digital platforms;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data centers and phone apps;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confidence in our brand and in consumer money transfers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regulatory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political stability, tariffs, border taxes or restrictions on remittances or transfers;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currency restrictions and volatility in countries in which we operate or plan to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the authenticity of customers’ 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intellectual property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personnel; and</w:t>
      </w:r>
    </w:p>
    <w:p>
      <w:pPr>
        <w:spacing w:after="0" w:line="9" w:lineRule="exact"/>
        <w:rPr>
          <w:rFonts w:ascii="Arial" w:cs="Arial" w:eastAsia="Arial" w:hAnsi="Arial"/>
          <w:sz w:val="18"/>
          <w:szCs w:val="18"/>
          <w:color w:val="auto"/>
        </w:rPr>
      </w:pPr>
    </w:p>
    <w:p>
      <w:pPr>
        <w:ind w:left="660" w:right="1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 except for share data)</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w w:val="91"/>
              </w:rPr>
              <w:t>December 31, 2021</w:t>
            </w:r>
          </w:p>
        </w:tc>
        <w:tc>
          <w:tcPr>
            <w:tcW w:w="0" w:type="dxa"/>
            <w:vAlign w:val="bottom"/>
          </w:tcPr>
          <w:p>
            <w:pPr>
              <w:spacing w:after="0"/>
              <w:rPr>
                <w:sz w:val="1"/>
                <w:szCs w:val="1"/>
                <w:color w:val="auto"/>
              </w:rPr>
            </w:pPr>
          </w:p>
        </w:tc>
      </w:tr>
      <w:tr>
        <w:trPr>
          <w:trHeight w:val="230"/>
        </w:trPr>
        <w:tc>
          <w:tcPr>
            <w:tcW w:w="6480" w:type="dxa"/>
            <w:vAlign w:val="bottom"/>
          </w:tcPr>
          <w:p>
            <w:pPr>
              <w:ind w:left="29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105,052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132,474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67,317</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Prepaid wires,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56,766</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318,133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263,545</w:t>
            </w: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17,905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15,392</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30"/>
        </w:trPr>
        <w:tc>
          <w:tcPr>
            <w:tcW w:w="64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340,536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Current portion of long-term debt,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Wire transfers and money orders payable,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74,444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56,066</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and other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33,760</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133,560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116,859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Debt,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118,753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79,211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tax liability, net</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80,637</w:t>
            </w: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15</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tcPr>
          <w:p>
            <w:pPr>
              <w:ind w:left="140"/>
              <w:spacing w:after="0" w:line="176" w:lineRule="exact"/>
              <w:rPr>
                <w:sz w:val="20"/>
                <w:szCs w:val="20"/>
                <w:color w:val="auto"/>
              </w:rPr>
            </w:pPr>
            <w:r>
              <w:rPr>
                <w:rFonts w:ascii="Arial" w:cs="Arial" w:eastAsia="Arial" w:hAnsi="Arial"/>
                <w:sz w:val="18"/>
                <w:szCs w:val="18"/>
                <w:color w:val="auto"/>
                <w:w w:val="95"/>
              </w:rPr>
              <w:t>Common stock $0.0001 par value; 230,000,000 shares authorized, 39,417,077 and</w:t>
            </w: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80" w:type="dxa"/>
            <w:vAlign w:val="bottom"/>
          </w:tcPr>
          <w:p>
            <w:pPr>
              <w:ind w:left="300"/>
              <w:spacing w:after="0" w:line="189" w:lineRule="exact"/>
              <w:rPr>
                <w:sz w:val="20"/>
                <w:szCs w:val="20"/>
                <w:color w:val="auto"/>
              </w:rPr>
            </w:pPr>
            <w:r>
              <w:rPr>
                <w:rFonts w:ascii="Arial" w:cs="Arial" w:eastAsia="Arial" w:hAnsi="Arial"/>
                <w:sz w:val="18"/>
                <w:szCs w:val="18"/>
                <w:color w:val="auto"/>
                <w:w w:val="92"/>
              </w:rPr>
              <w:t>38,820,222 shares issued and 37,059,940 and 38,478,700 shares outstanding as of</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300"/>
              <w:spacing w:after="0"/>
              <w:rPr>
                <w:sz w:val="20"/>
                <w:szCs w:val="20"/>
                <w:color w:val="auto"/>
              </w:rPr>
            </w:pPr>
            <w:r>
              <w:rPr>
                <w:rFonts w:ascii="Arial" w:cs="Arial" w:eastAsia="Arial" w:hAnsi="Arial"/>
                <w:sz w:val="18"/>
                <w:szCs w:val="18"/>
                <w:color w:val="auto"/>
              </w:rPr>
              <w:t>September 30, 2022 and December 31, 2021, respectively.</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126,067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81,803</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5"/>
        </w:trPr>
        <w:tc>
          <w:tcPr>
            <w:tcW w:w="6480" w:type="dxa"/>
            <w:vAlign w:val="bottom"/>
          </w:tcPr>
          <w:p>
            <w:pPr>
              <w:ind w:left="140"/>
              <w:spacing w:after="0" w:line="176" w:lineRule="exact"/>
              <w:rPr>
                <w:sz w:val="20"/>
                <w:szCs w:val="20"/>
                <w:color w:val="auto"/>
              </w:rPr>
            </w:pPr>
            <w:r>
              <w:rPr>
                <w:rFonts w:ascii="Arial" w:cs="Arial" w:eastAsia="Arial" w:hAnsi="Arial"/>
                <w:sz w:val="18"/>
                <w:szCs w:val="18"/>
                <w:color w:val="auto"/>
                <w:w w:val="92"/>
              </w:rPr>
              <w:t>Treasury stock, at cost; 2,357,137 and 341,522 shares as of September 30, 2022 and</w:t>
            </w:r>
          </w:p>
        </w:tc>
        <w:tc>
          <w:tcPr>
            <w:tcW w:w="1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(49,300)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December 31, 2021, respectively.</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143,040</w:t>
            </w:r>
          </w:p>
        </w:tc>
        <w:tc>
          <w:tcPr>
            <w:tcW w:w="0" w:type="dxa"/>
            <w:vAlign w:val="bottom"/>
          </w:tcPr>
          <w:p>
            <w:pPr>
              <w:spacing w:after="0"/>
              <w:rPr>
                <w:sz w:val="1"/>
                <w:szCs w:val="1"/>
                <w:color w:val="auto"/>
              </w:rPr>
            </w:pPr>
          </w:p>
        </w:tc>
      </w:tr>
      <w:tr>
        <w:trPr>
          <w:trHeight w:val="230"/>
        </w:trPr>
        <w:tc>
          <w:tcPr>
            <w:tcW w:w="648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340,536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0800"/>
          </w:cols>
          <w:pgMar w:left="320" w:top="125" w:right="779" w:bottom="1440" w:gutter="0" w:footer="0" w:header="0"/>
        </w:sectPr>
      </w:pP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ind w:left="40"/>
              <w:spacing w:after="0"/>
              <w:rPr>
                <w:sz w:val="20"/>
                <w:szCs w:val="20"/>
                <w:color w:val="auto"/>
              </w:rPr>
            </w:pPr>
            <w:r>
              <w:rPr>
                <w:rFonts w:ascii="Arial" w:cs="Arial" w:eastAsia="Arial" w:hAnsi="Arial"/>
                <w:sz w:val="18"/>
                <w:szCs w:val="18"/>
                <w:color w:val="auto"/>
                <w:w w:val="97"/>
              </w:rPr>
              <w:t>Three Months Ended September 30,</w:t>
            </w:r>
          </w:p>
        </w:tc>
        <w:tc>
          <w:tcPr>
            <w:tcW w:w="140" w:type="dxa"/>
            <w:vAlign w:val="bottom"/>
          </w:tcPr>
          <w:p>
            <w:pPr>
              <w:spacing w:after="0"/>
              <w:rPr>
                <w:sz w:val="20"/>
                <w:szCs w:val="20"/>
                <w:color w:val="auto"/>
              </w:rPr>
            </w:pPr>
          </w:p>
        </w:tc>
        <w:tc>
          <w:tcPr>
            <w:tcW w:w="278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237"/>
        </w:trPr>
        <w:tc>
          <w:tcPr>
            <w:tcW w:w="4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284,409</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Foreign exchange gain, net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45,347</w:t>
            </w:r>
          </w:p>
        </w:tc>
      </w:tr>
      <w:tr>
        <w:trPr>
          <w:trHeight w:val="236"/>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r>
      <w:tr>
        <w:trPr>
          <w:trHeight w:val="237"/>
        </w:trPr>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140,767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392,368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332,031</w:t>
            </w:r>
          </w:p>
        </w:tc>
      </w:tr>
      <w:tr>
        <w:trPr>
          <w:trHeight w:val="243"/>
        </w:trPr>
        <w:tc>
          <w:tcPr>
            <w:tcW w:w="4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222,654</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30,909</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w:t>
            </w:r>
          </w:p>
        </w:tc>
      </w:tr>
      <w:tr>
        <w:trPr>
          <w:trHeight w:val="237"/>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r>
      <w:tr>
        <w:trPr>
          <w:trHeight w:val="237"/>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283,153</w:t>
            </w: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48,878</w:t>
            </w: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45,316</w:t>
            </w: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w:t>
            </w: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33,711</w:t>
            </w: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4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24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37,390,632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38,647,931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37,999,709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38,441,767</w:t>
            </w:r>
          </w:p>
        </w:tc>
      </w:tr>
      <w:tr>
        <w:trPr>
          <w:trHeight w:val="230"/>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38,425,868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39,336,051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38,907,283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39,071,622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60" w:type="dxa"/>
            <w:vAlign w:val="bottom"/>
            <w:gridSpan w:val="18"/>
          </w:tcPr>
          <w:p>
            <w:pPr>
              <w:ind w:left="600"/>
              <w:spacing w:after="0"/>
              <w:rPr>
                <w:sz w:val="20"/>
                <w:szCs w:val="20"/>
                <w:color w:val="auto"/>
              </w:rPr>
            </w:pPr>
            <w:r>
              <w:rPr>
                <w:rFonts w:ascii="Arial" w:cs="Arial" w:eastAsia="Arial" w:hAnsi="Arial"/>
                <w:sz w:val="14"/>
                <w:szCs w:val="14"/>
                <w:b w:val="1"/>
                <w:bCs w:val="1"/>
                <w:color w:val="auto"/>
              </w:rPr>
              <w:t>Three Months Ended September 30, 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8"/>
          </w:tcPr>
          <w:p>
            <w:pPr>
              <w:ind w:left="480"/>
              <w:spacing w:after="0" w:line="13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900" w:type="dxa"/>
            <w:vAlign w:val="bottom"/>
            <w:gridSpan w:val="8"/>
          </w:tcPr>
          <w:p>
            <w:pPr>
              <w:ind w:left="420"/>
              <w:spacing w:after="0" w:line="139"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960" w:type="dxa"/>
            <w:vAlign w:val="bottom"/>
            <w:gridSpan w:val="4"/>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39,011,042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(1,069,423)</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109,441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100"/>
              <w:spacing w:after="0" w:line="176" w:lineRule="exact"/>
              <w:rPr>
                <w:sz w:val="20"/>
                <w:szCs w:val="20"/>
                <w:color w:val="auto"/>
              </w:rPr>
            </w:pPr>
            <w:r>
              <w:rPr>
                <w:rFonts w:ascii="Arial" w:cs="Arial" w:eastAsia="Arial" w:hAnsi="Arial"/>
                <w:sz w:val="18"/>
                <w:szCs w:val="18"/>
                <w:color w:val="auto"/>
                <w:w w:val="93"/>
              </w:rPr>
              <w:t>Exercise of stock options, net</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w w:val="91"/>
              </w:rPr>
              <w:t>of shares withheld for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377,589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Restricted stock units and</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awards, net of shares</w:t>
            </w: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withheld for taxes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00"/>
              <w:spacing w:after="0"/>
              <w:rPr>
                <w:sz w:val="20"/>
                <w:szCs w:val="20"/>
                <w:color w:val="auto"/>
              </w:rPr>
            </w:pPr>
            <w:r>
              <w:rPr>
                <w:rFonts w:ascii="Arial" w:cs="Arial" w:eastAsia="Arial" w:hAnsi="Arial"/>
                <w:sz w:val="18"/>
                <w:szCs w:val="18"/>
                <w:color w:val="auto"/>
              </w:rPr>
              <w:t>Fully vested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4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Acquisition of treasury stock,</w:t>
            </w:r>
          </w:p>
        </w:tc>
        <w:tc>
          <w:tcPr>
            <w:tcW w:w="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(1,287,714)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(30,106)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cost</w:t>
            </w:r>
          </w:p>
        </w:tc>
        <w:tc>
          <w:tcPr>
            <w:tcW w:w="40" w:type="dxa"/>
            <w:vAlign w:val="bottom"/>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4"/>
              </w:rPr>
              <w:t>Balance, September 30, 2022</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39,417,077</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(2,357,137)</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(49,300)</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68,457</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126,067</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60" w:type="dxa"/>
            <w:vAlign w:val="bottom"/>
            <w:gridSpan w:val="18"/>
          </w:tcPr>
          <w:p>
            <w:pPr>
              <w:ind w:left="640"/>
              <w:spacing w:after="0"/>
              <w:rPr>
                <w:sz w:val="20"/>
                <w:szCs w:val="20"/>
                <w:color w:val="auto"/>
              </w:rPr>
            </w:pPr>
            <w:r>
              <w:rPr>
                <w:rFonts w:ascii="Arial" w:cs="Arial" w:eastAsia="Arial" w:hAnsi="Arial"/>
                <w:sz w:val="14"/>
                <w:szCs w:val="14"/>
                <w:b w:val="1"/>
                <w:bCs w:val="1"/>
                <w:color w:val="auto"/>
              </w:rPr>
              <w:t>Three Months Ended September 30, 2021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tcBorders>
              <w:bottom w:val="single" w:sz="8" w:color="auto"/>
            </w:tcBorders>
            <w:gridSpan w:val="8"/>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gridSpan w:val="8"/>
          </w:tcPr>
          <w:p>
            <w:pPr>
              <w:ind w:left="520"/>
              <w:spacing w:after="0" w:line="135"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1900" w:type="dxa"/>
            <w:vAlign w:val="bottom"/>
            <w:gridSpan w:val="8"/>
          </w:tcPr>
          <w:p>
            <w:pPr>
              <w:ind w:left="460"/>
              <w:spacing w:after="0" w:line="135"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9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38,585,724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152,678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Restricted stock units and</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awards</w:t>
            </w:r>
          </w:p>
        </w:tc>
        <w:tc>
          <w:tcPr>
            <w:tcW w:w="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Fully vested shares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1,078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4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Acquisition of treasury</w:t>
            </w:r>
          </w:p>
        </w:tc>
        <w:tc>
          <w:tcPr>
            <w:tcW w:w="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(70,440)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91"/>
              </w:rPr>
              <w:t>(1,205)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at cost</w:t>
            </w:r>
          </w:p>
        </w:tc>
        <w:tc>
          <w:tcPr>
            <w:tcW w:w="40" w:type="dxa"/>
            <w:vAlign w:val="bottom"/>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4"/>
              </w:rPr>
              <w:t>Balance, September 30, 2021</w:t>
            </w: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38,739,480</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(70,440)</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91"/>
              </w:rPr>
              <w:t>(1,205)</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65,036</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68,671</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132,354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25" w:right="11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60" w:type="dxa"/>
            <w:vAlign w:val="bottom"/>
            <w:gridSpan w:val="18"/>
          </w:tcPr>
          <w:p>
            <w:pPr>
              <w:ind w:left="640"/>
              <w:spacing w:after="0"/>
              <w:rPr>
                <w:sz w:val="20"/>
                <w:szCs w:val="20"/>
                <w:color w:val="auto"/>
              </w:rPr>
            </w:pPr>
            <w:r>
              <w:rPr>
                <w:rFonts w:ascii="Arial" w:cs="Arial" w:eastAsia="Arial" w:hAnsi="Arial"/>
                <w:sz w:val="14"/>
                <w:szCs w:val="14"/>
                <w:b w:val="1"/>
                <w:bCs w:val="1"/>
                <w:color w:val="auto"/>
              </w:rPr>
              <w:t>Nine Months Ended September 30, 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8"/>
          </w:tcPr>
          <w:p>
            <w:pPr>
              <w:ind w:left="480"/>
              <w:spacing w:after="0" w:line="13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900" w:type="dxa"/>
            <w:vAlign w:val="bottom"/>
            <w:gridSpan w:val="8"/>
          </w:tcPr>
          <w:p>
            <w:pPr>
              <w:ind w:left="420"/>
              <w:spacing w:after="0" w:line="139"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960" w:type="dxa"/>
            <w:vAlign w:val="bottom"/>
            <w:gridSpan w:val="4"/>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Balance, December 31, 2021</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38,820,222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(341,522)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140"/>
              <w:spacing w:after="0" w:line="176" w:lineRule="exact"/>
              <w:rPr>
                <w:sz w:val="20"/>
                <w:szCs w:val="20"/>
                <w:color w:val="auto"/>
              </w:rPr>
            </w:pPr>
            <w:r>
              <w:rPr>
                <w:rFonts w:ascii="Arial" w:cs="Arial" w:eastAsia="Arial" w:hAnsi="Arial"/>
                <w:sz w:val="18"/>
                <w:szCs w:val="18"/>
                <w:color w:val="auto"/>
                <w:w w:val="91"/>
              </w:rPr>
              <w:t>Exercise of stock options, net</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140"/>
              <w:spacing w:after="0"/>
              <w:rPr>
                <w:sz w:val="20"/>
                <w:szCs w:val="20"/>
                <w:color w:val="auto"/>
              </w:rPr>
            </w:pPr>
            <w:r>
              <w:rPr>
                <w:rFonts w:ascii="Arial" w:cs="Arial" w:eastAsia="Arial" w:hAnsi="Arial"/>
                <w:sz w:val="18"/>
                <w:szCs w:val="18"/>
                <w:color w:val="auto"/>
                <w:w w:val="97"/>
              </w:rPr>
              <w:t>of shares withheld for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451,304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Restricted stock units and</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awards, net of shares</w:t>
            </w: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withheld for taxes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142,991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Fully vested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2,560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4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Acquisition of treasury stock,</w:t>
            </w:r>
          </w:p>
        </w:tc>
        <w:tc>
          <w:tcPr>
            <w:tcW w:w="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(2,015,615)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(43,734)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(43,734)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cost</w:t>
            </w:r>
          </w:p>
        </w:tc>
        <w:tc>
          <w:tcPr>
            <w:tcW w:w="40" w:type="dxa"/>
            <w:vAlign w:val="bottom"/>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3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4"/>
              </w:rPr>
              <w:t>Balance, September 30, 2022</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39,417,077</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(2,357,137)</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(49,300)</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68,457</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126,067</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60" w:type="dxa"/>
            <w:vAlign w:val="bottom"/>
            <w:gridSpan w:val="18"/>
          </w:tcPr>
          <w:p>
            <w:pPr>
              <w:ind w:left="680"/>
              <w:spacing w:after="0"/>
              <w:rPr>
                <w:sz w:val="20"/>
                <w:szCs w:val="20"/>
                <w:color w:val="auto"/>
              </w:rPr>
            </w:pPr>
            <w:r>
              <w:rPr>
                <w:rFonts w:ascii="Arial" w:cs="Arial" w:eastAsia="Arial" w:hAnsi="Arial"/>
                <w:sz w:val="14"/>
                <w:szCs w:val="14"/>
                <w:b w:val="1"/>
                <w:bCs w:val="1"/>
                <w:color w:val="auto"/>
              </w:rPr>
              <w:t>Nine Months Ended September 30, 2021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tcBorders>
              <w:bottom w:val="single" w:sz="8" w:color="auto"/>
            </w:tcBorders>
            <w:gridSpan w:val="8"/>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gridSpan w:val="8"/>
          </w:tcPr>
          <w:p>
            <w:pPr>
              <w:ind w:left="520"/>
              <w:spacing w:after="0" w:line="135"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1900" w:type="dxa"/>
            <w:vAlign w:val="bottom"/>
            <w:gridSpan w:val="8"/>
          </w:tcPr>
          <w:p>
            <w:pPr>
              <w:ind w:left="460"/>
              <w:spacing w:after="0" w:line="135"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9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Balance, December 31, 2020</w:t>
            </w:r>
          </w:p>
        </w:tc>
        <w:tc>
          <w:tcPr>
            <w:tcW w:w="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38,217,125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59,310</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397,585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Restricted stock units and</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awards, net of shares</w:t>
            </w: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withheld for taxes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121,596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Fully vested shares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3,174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4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Acquisition of treasury stock,</w:t>
            </w:r>
          </w:p>
        </w:tc>
        <w:tc>
          <w:tcPr>
            <w:tcW w:w="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(70,440)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91"/>
              </w:rPr>
              <w:t>(1,205)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cost</w:t>
            </w:r>
          </w:p>
        </w:tc>
        <w:tc>
          <w:tcPr>
            <w:tcW w:w="40" w:type="dxa"/>
            <w:vAlign w:val="bottom"/>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3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4"/>
              </w:rPr>
              <w:t>Balance, September 30, 2021</w:t>
            </w: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38,739,480</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(70,440)</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91"/>
              </w:rPr>
              <w:t>(1,205)</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65,036</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68,671</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132,354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25" w:right="11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left="1000" w:right="2240"/>
        <w:spacing w:after="0" w:line="266"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(in thousands, unaudited)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rPr>
              <w:t>Nine Months Ended September 30,</w:t>
            </w:r>
          </w:p>
        </w:tc>
      </w:tr>
      <w:tr>
        <w:trPr>
          <w:trHeight w:val="237"/>
        </w:trPr>
        <w:tc>
          <w:tcPr>
            <w:tcW w:w="62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33,711</w:t>
            </w:r>
          </w:p>
        </w:tc>
      </w:tr>
      <w:tr>
        <w:trPr>
          <w:trHeight w:val="176"/>
        </w:trPr>
        <w:tc>
          <w:tcPr>
            <w:tcW w:w="6260" w:type="dxa"/>
            <w:vAlign w:val="bottom"/>
          </w:tcPr>
          <w:p>
            <w:pPr>
              <w:ind w:left="140"/>
              <w:spacing w:after="0" w:line="176" w:lineRule="exact"/>
              <w:rPr>
                <w:sz w:val="20"/>
                <w:szCs w:val="20"/>
                <w:color w:val="auto"/>
              </w:rPr>
            </w:pPr>
            <w:r>
              <w:rPr>
                <w:rFonts w:ascii="Arial" w:cs="Arial" w:eastAsia="Arial" w:hAnsi="Arial"/>
                <w:sz w:val="18"/>
                <w:szCs w:val="18"/>
                <w:color w:val="auto"/>
                <w:w w:val="96"/>
              </w:rPr>
              <w:t>Adjustments to reconcile net income to net cash (used in) provided by operating</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37"/>
        </w:trPr>
        <w:tc>
          <w:tcPr>
            <w:tcW w:w="6260" w:type="dxa"/>
            <w:vAlign w:val="bottom"/>
          </w:tcPr>
          <w:p>
            <w:pPr>
              <w:ind w:left="300"/>
              <w:spacing w:after="0"/>
              <w:rPr>
                <w:sz w:val="20"/>
                <w:szCs w:val="20"/>
                <w:color w:val="auto"/>
              </w:rPr>
            </w:pPr>
            <w:r>
              <w:rPr>
                <w:rFonts w:ascii="Arial" w:cs="Arial" w:eastAsia="Arial" w:hAnsi="Arial"/>
                <w:sz w:val="18"/>
                <w:szCs w:val="18"/>
                <w:color w:val="auto"/>
              </w:rPr>
              <w:t>activities: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6"/>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r>
      <w:tr>
        <w:trPr>
          <w:trHeight w:val="229"/>
        </w:trPr>
        <w:tc>
          <w:tcPr>
            <w:tcW w:w="62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3,382</w:t>
            </w:r>
          </w:p>
        </w:tc>
      </w:tr>
      <w:tr>
        <w:trPr>
          <w:trHeight w:val="230"/>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29"/>
        </w:trPr>
        <w:tc>
          <w:tcPr>
            <w:tcW w:w="6260" w:type="dxa"/>
            <w:vAlign w:val="bottom"/>
          </w:tcPr>
          <w:p>
            <w:pPr>
              <w:ind w:left="340"/>
              <w:spacing w:after="0"/>
              <w:rPr>
                <w:sz w:val="20"/>
                <w:szCs w:val="20"/>
                <w:color w:val="auto"/>
              </w:rPr>
            </w:pPr>
            <w:r>
              <w:rPr>
                <w:rFonts w:ascii="Arial" w:cs="Arial" w:eastAsia="Arial" w:hAnsi="Arial"/>
                <w:sz w:val="18"/>
                <w:szCs w:val="18"/>
                <w:color w:val="auto"/>
              </w:rPr>
              <w:t>Debt origination costs amortization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29"/>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 provision,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626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6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0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17"/>
        </w:trPr>
        <w:tc>
          <w:tcPr>
            <w:tcW w:w="6260" w:type="dxa"/>
            <w:vAlign w:val="bottom"/>
          </w:tcPr>
          <w:p>
            <w:pPr>
              <w:ind w:left="660"/>
              <w:spacing w:after="0"/>
              <w:rPr>
                <w:sz w:val="20"/>
                <w:szCs w:val="20"/>
                <w:color w:val="auto"/>
              </w:rPr>
            </w:pPr>
            <w:r>
              <w:rPr>
                <w:rFonts w:ascii="Arial" w:cs="Arial" w:eastAsia="Arial" w:hAnsi="Arial"/>
                <w:sz w:val="18"/>
                <w:szCs w:val="18"/>
                <w:color w:val="auto"/>
              </w:rPr>
              <w:t>Total adjustments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14,042</w:t>
            </w:r>
          </w:p>
        </w:tc>
      </w:tr>
      <w:tr>
        <w:trPr>
          <w:trHeight w:val="229"/>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260" w:type="dxa"/>
            <w:vAlign w:val="bottom"/>
          </w:tcPr>
          <w:p>
            <w:pPr>
              <w:ind w:left="46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(34,864)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(43,402)</w:t>
            </w:r>
          </w:p>
        </w:tc>
      </w:tr>
      <w:tr>
        <w:trPr>
          <w:trHeight w:val="229"/>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wires,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(47,099)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w:t>
            </w:r>
          </w:p>
        </w:tc>
      </w:tr>
      <w:tr>
        <w:trPr>
          <w:trHeight w:val="229"/>
        </w:trPr>
        <w:tc>
          <w:tcPr>
            <w:tcW w:w="626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(6,210)</w:t>
            </w:r>
          </w:p>
        </w:tc>
      </w:tr>
      <w:tr>
        <w:trPr>
          <w:trHeight w:val="230"/>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Wire transfers and money orders payable,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18,136</w:t>
            </w:r>
          </w:p>
        </w:tc>
      </w:tr>
      <w:tr>
        <w:trPr>
          <w:trHeight w:val="229"/>
        </w:trPr>
        <w:tc>
          <w:tcPr>
            <w:tcW w:w="6260" w:type="dxa"/>
            <w:vAlign w:val="bottom"/>
          </w:tcPr>
          <w:p>
            <w:pPr>
              <w:ind w:left="460"/>
              <w:spacing w:after="0"/>
              <w:rPr>
                <w:sz w:val="20"/>
                <w:szCs w:val="20"/>
                <w:color w:val="auto"/>
              </w:rPr>
            </w:pPr>
            <w:r>
              <w:rPr>
                <w:rFonts w:ascii="Arial" w:cs="Arial" w:eastAsia="Arial" w:hAnsi="Arial"/>
                <w:sz w:val="18"/>
                <w:szCs w:val="18"/>
                <w:color w:val="auto"/>
              </w:rPr>
              <w:t>Lease liabilities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 and accrued and other liabilities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60,705</w:t>
            </w:r>
          </w:p>
        </w:tc>
      </w:tr>
      <w:tr>
        <w:trPr>
          <w:trHeight w:val="149"/>
        </w:trPr>
        <w:tc>
          <w:tcPr>
            <w:tcW w:w="6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r>
      <w:tr>
        <w:trPr>
          <w:trHeight w:val="237"/>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 of agent locations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r>
      <w:tr>
        <w:trPr>
          <w:trHeight w:val="162"/>
        </w:trPr>
        <w:tc>
          <w:tcPr>
            <w:tcW w:w="6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Repayments of term loan facility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(43,135)</w:t>
            </w: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revolving credit facility,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Borrowings under term loan facility</w:t>
            </w:r>
          </w:p>
        </w:tc>
        <w:tc>
          <w:tcPr>
            <w:tcW w:w="10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40,158</w:t>
            </w: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origination costs</w:t>
            </w:r>
          </w:p>
        </w:tc>
        <w:tc>
          <w:tcPr>
            <w:tcW w:w="10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3,192</w:t>
            </w: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for stock awards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36"/>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Repurchases of common stock</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(43,734)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r>
      <w:tr>
        <w:trPr>
          <w:trHeight w:val="148"/>
        </w:trPr>
        <w:tc>
          <w:tcPr>
            <w:tcW w:w="6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148"/>
        </w:trPr>
        <w:tc>
          <w:tcPr>
            <w:tcW w:w="6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(27,422)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50,225</w:t>
            </w:r>
          </w:p>
        </w:tc>
      </w:tr>
      <w:tr>
        <w:trPr>
          <w:trHeight w:val="162"/>
        </w:trPr>
        <w:tc>
          <w:tcPr>
            <w:tcW w:w="6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beginning of period</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132,474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74,907</w:t>
            </w:r>
          </w:p>
        </w:tc>
      </w:tr>
      <w:tr>
        <w:trPr>
          <w:trHeight w:val="149"/>
        </w:trPr>
        <w:tc>
          <w:tcPr>
            <w:tcW w:w="6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end of period</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105,052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125,132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left="1140" w:right="146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w w:val="96"/>
              </w:rPr>
              <w:t>Nine Months Ended September 30,</w:t>
            </w:r>
          </w:p>
        </w:tc>
      </w:tr>
      <w:tr>
        <w:trPr>
          <w:trHeight w:val="237"/>
        </w:trPr>
        <w:tc>
          <w:tcPr>
            <w:tcW w:w="6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r>
      <w:tr>
        <w:trPr>
          <w:trHeight w:val="237"/>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12,567</w:t>
            </w:r>
          </w:p>
        </w:tc>
      </w:tr>
      <w:tr>
        <w:trPr>
          <w:trHeight w:val="236"/>
        </w:trPr>
        <w:tc>
          <w:tcPr>
            <w:tcW w:w="6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Issuance of common stock for cashless exercise of options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r>
      <w:tr>
        <w:trPr>
          <w:trHeight w:val="237"/>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Non-cash lease liabilities arising from obtaining right-of-use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Right-of-use asset adjustments due to lease modifications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6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37 Company-operated stores throughout the United States and Canada.</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coronavirus (“COVID-19”) pandemic that started in 2020 has had and continues to have a significant effect on economic conditions in the United States, and continues to cause significant uncertainties in the U.S. and global economies, particularly as a result of the emergence of new variants and sub-variants of COVID-19. Public health officials and medical professionals have warned that COVID-19 resurgences may continue to occur due to a variety of factors, including the extent of economic activity, social interaction, vaccination rates and the emergence of potent variants. It is unclear if and when resurgences will occur or how long any resurgence will last, how severe it will be, and what safety measures governments and businesses will impose in response.</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operations have continued effectively despite measures taken in response to the pandemic. However, the ultimate impact of the COVID-19 pandemic and any potential material adverse effect on the Company’s condition, results of operations and cash flows is dependent on future developments, including the duration or resurgence of the pandemic and the related extent of its severity, as well as its impact on the economic conditions, particularly the level of unemployment of our consumers, inflation (including changes in wages) and governmental efforts to restrain inflation, interest rate levels and foreign exchange volatility, all of which remain uncertain and cannot be predicted at this time.</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of the Company include International Money Express, Inc. and its majority-owned subsidiaries. The condensed consolidated financial statements are prepared in accordance with accounting principles generally accepted in the United States (“GAAP”). All significant inter-company balances and transactions have been eliminated from the condensed consolidated financial statements.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2021.</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16, 2022, the Company entered into a definitive purchase agreement to acquire Envios de Valores La Nacional Corp. (“La Nacional”) and LAN Holdings, Corp. (“LAN Holdings”), which either directly or indirectly operate as money remittance companies in the United States, Canada and certain countries in Europe. On November 1, 2022, the Company entered into an Amended and Restated Stock Purchase Agreement to allow the parties to close on the acquisition of La Nacional effective November 1, 2022 and to close on the acquisition of LAN Holdings at a later date following receipt of pending regulatory approvals. The acquisition of LAN Holdings is expected to close late in the fourth quarter of 2022 or early 2023. The Company paid $42.3 million upon consummation of the acquisition of La Nacional (subject to customary purchase price adjustments) and anticipates up to an additional $2.4 million in contingent consideration to be paid in 2023 if La Nacional achieves certain financial targets and operational milestones. For LAN Holdings, the Company expects to pay cash of approximately $7.7 million (subject to customary purchase price adjustments) and up to an additional $0.6 million in contingent consideration in 2023 if LAN Holdings achieves certain financial targets and operational milestones. Refer to Note 16 for additional information on the closing of the acquisition of La Nacional.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2022, the Company adopted the new accounting guidance,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 which required the Company to record assets and liabilities on the balance sheet for lease-related rights and obligations and disclose key information about its leasing arrangements. The guidance requires that a lessee recognizes a liability to make lease payments (the lease liability) and a right-of-use (“ROU”) asset representing its right to use the underlying asset for the lease term on the balance sheet. Leases are classified as financing or operating, with classification affecting the pattern of expense recognition in the condensed consolidated statements of income and comprehensive income. Refer to Note 6 for additional information on the adoption of this standard and related disclosures.</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w:t>
      </w:r>
      <w:r>
        <w:rPr>
          <w:rFonts w:ascii="Arial" w:cs="Arial" w:eastAsia="Arial" w:hAnsi="Arial"/>
          <w:sz w:val="17"/>
          <w:szCs w:val="17"/>
          <w:color w:val="252525"/>
        </w:rPr>
        <w:t>The</w:t>
      </w:r>
      <w:r>
        <w:rPr>
          <w:rFonts w:ascii="Arial" w:cs="Arial" w:eastAsia="Arial" w:hAnsi="Arial"/>
          <w:sz w:val="17"/>
          <w:szCs w:val="17"/>
          <w:color w:val="auto"/>
        </w:rPr>
        <w:t xml:space="preserve"> </w:t>
      </w:r>
      <w:r>
        <w:rPr>
          <w:rFonts w:ascii="Arial" w:cs="Arial" w:eastAsia="Arial" w:hAnsi="Arial"/>
          <w:sz w:val="17"/>
          <w:szCs w:val="17"/>
          <w:color w:val="252525"/>
        </w:rPr>
        <w:t>Company is in the process of implementing the CECL model and is updating certain of its business processes and internal controls to meet the reporting and disclosure requirement of the new accounting guidance. The new guidance, which the Company will adopt effective on December 31, 2022 using the modified-retrospective approach, is not expected to materially affect the amount of provision for credit losses recognized under the Company’s current model and is not expected to have a material effect on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Company recognized revenues from contracts with customers for the three and nine months ended September 30, 2022 and 2021,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5"/>
          </w:tcPr>
          <w:p>
            <w:pPr>
              <w:ind w:left="8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0"/>
                <w:szCs w:val="20"/>
                <w:color w:val="auto"/>
              </w:rPr>
            </w:pPr>
          </w:p>
        </w:tc>
        <w:tc>
          <w:tcPr>
            <w:tcW w:w="2900" w:type="dxa"/>
            <w:vAlign w:val="bottom"/>
            <w:gridSpan w:val="4"/>
          </w:tcPr>
          <w:p>
            <w:pPr>
              <w:jc w:val="right"/>
              <w:ind w:right="190"/>
              <w:spacing w:after="0"/>
              <w:rPr>
                <w:sz w:val="20"/>
                <w:szCs w:val="20"/>
                <w:color w:val="auto"/>
              </w:rPr>
            </w:pPr>
            <w:r>
              <w:rPr>
                <w:rFonts w:ascii="Arial" w:cs="Arial" w:eastAsia="Arial" w:hAnsi="Arial"/>
                <w:sz w:val="18"/>
                <w:szCs w:val="18"/>
                <w:color w:val="auto"/>
                <w:w w:val="92"/>
              </w:rPr>
              <w:t>Nine Months Ended September 30,</w:t>
            </w:r>
          </w:p>
        </w:tc>
      </w:tr>
      <w:tr>
        <w:trPr>
          <w:trHeight w:val="237"/>
        </w:trPr>
        <w:tc>
          <w:tcPr>
            <w:tcW w:w="42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285,430</w:t>
            </w:r>
          </w:p>
        </w:tc>
      </w:tr>
      <w:tr>
        <w:trPr>
          <w:trHeight w:val="23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284,409</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52,719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45,347</w:t>
            </w: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392,368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332,031</w:t>
            </w: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8) and a corresponding loyalty program expense is recorded as contra revenue. Revenue from this performance obligation is recognized upon customers redeeming points or upon expiration of any points outstanding.</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through its sending agents, for which revenue is derived from a fee per transaction. For substantially all of the Company’s revenues, the Company acts as principal in the transaction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3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represents outstanding balances from sending agents for pending wire transfers or money orders from consumers. The outstanding balance of accounts receivable, net of allowance for credit losses, consists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0"/>
                <w:szCs w:val="20"/>
                <w:color w:val="auto"/>
              </w:rPr>
            </w:pP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23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69,498</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(2,181)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67,317</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9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Advances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agent advances receivable, net of allowance for credit losses, from sending agents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0"/>
                <w:szCs w:val="20"/>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w w:val="98"/>
              </w:rPr>
              <w:t>December 31, 2021</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Agent advances receivable, current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791</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(55)</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736</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advances receivable, long-term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656</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(13)</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643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net current portion of agent advances receivable is included in prepaid expenses and other current assets (see Note 4), and the net long-term portion is included in other assets in the condensed consolidated balance sheets. Agent advances receivable have interest rates ranging from 0% to 15.0% per annum. At September 30, 2022 and December 31, 2021, there were $3.0 million and $1.4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maturities of agent advances receivable at September 30, 2022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62661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6180" cy="1631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1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661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66180" cy="16256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More than 2 years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1379"/>
        <w:spacing w:after="0"/>
        <w:rPr>
          <w:sz w:val="20"/>
          <w:szCs w:val="20"/>
          <w:color w:val="auto"/>
        </w:rPr>
      </w:pPr>
      <w:r>
        <w:rPr>
          <w:rFonts w:ascii="Arial" w:cs="Arial" w:eastAsia="Arial" w:hAnsi="Arial"/>
          <w:sz w:val="18"/>
          <w:szCs w:val="18"/>
          <w:color w:val="auto"/>
        </w:rPr>
        <w:t>Unpaid Advance</w:t>
      </w:r>
    </w:p>
    <w:p>
      <w:pPr>
        <w:jc w:val="center"/>
        <w:ind w:right="1379"/>
        <w:spacing w:after="0"/>
        <w:rPr>
          <w:sz w:val="20"/>
          <w:szCs w:val="20"/>
          <w:color w:val="auto"/>
        </w:rPr>
      </w:pPr>
      <w:r>
        <w:rPr>
          <w:rFonts w:ascii="Arial" w:cs="Arial" w:eastAsia="Arial" w:hAnsi="Arial"/>
          <w:sz w:val="18"/>
          <w:szCs w:val="18"/>
          <w:color w:val="auto"/>
        </w:rPr>
        <w:t>Balance</w:t>
      </w:r>
    </w:p>
    <w:p>
      <w:pPr>
        <w:spacing w:after="0" w:line="47" w:lineRule="exact"/>
        <w:rPr>
          <w:sz w:val="20"/>
          <w:szCs w:val="20"/>
          <w:color w:val="auto"/>
        </w:rPr>
      </w:pPr>
    </w:p>
    <w:p>
      <w:pPr>
        <w:ind w:left="1261" w:hanging="1261"/>
        <w:spacing w:after="0"/>
        <w:tabs>
          <w:tab w:leader="none" w:pos="1261" w:val="left"/>
        </w:tabs>
        <w:numPr>
          <w:ilvl w:val="0"/>
          <w:numId w:val="4"/>
        </w:numPr>
        <w:rPr>
          <w:rFonts w:ascii="Arial" w:cs="Arial" w:eastAsia="Arial" w:hAnsi="Arial"/>
          <w:sz w:val="15"/>
          <w:szCs w:val="15"/>
          <w:color w:val="auto"/>
        </w:rPr>
      </w:pPr>
      <w:r>
        <w:rPr>
          <w:rFonts w:ascii="Arial" w:cs="Arial" w:eastAsia="Arial" w:hAnsi="Arial"/>
          <w:sz w:val="15"/>
          <w:szCs w:val="15"/>
          <w:color w:val="auto"/>
        </w:rPr>
        <w:t>1,532</w:t>
      </w:r>
    </w:p>
    <w:p>
      <w:pPr>
        <w:spacing w:after="0" w:line="57" w:lineRule="exact"/>
        <w:rPr>
          <w:rFonts w:ascii="Arial" w:cs="Arial" w:eastAsia="Arial" w:hAnsi="Arial"/>
          <w:sz w:val="15"/>
          <w:szCs w:val="15"/>
          <w:color w:val="auto"/>
        </w:rPr>
      </w:pPr>
    </w:p>
    <w:p>
      <w:pPr>
        <w:ind w:left="1261"/>
        <w:spacing w:after="0"/>
        <w:rPr>
          <w:rFonts w:ascii="Arial" w:cs="Arial" w:eastAsia="Arial" w:hAnsi="Arial"/>
          <w:sz w:val="15"/>
          <w:szCs w:val="15"/>
          <w:color w:val="auto"/>
        </w:rPr>
      </w:pPr>
      <w:r>
        <w:rPr>
          <w:rFonts w:ascii="Arial" w:cs="Arial" w:eastAsia="Arial" w:hAnsi="Arial"/>
          <w:sz w:val="15"/>
          <w:szCs w:val="15"/>
          <w:color w:val="auto"/>
        </w:rPr>
        <w:t>1,249</w:t>
      </w:r>
    </w:p>
    <w:p>
      <w:pPr>
        <w:spacing w:after="0" w:line="57" w:lineRule="exact"/>
        <w:rPr>
          <w:rFonts w:ascii="Arial" w:cs="Arial" w:eastAsia="Arial" w:hAnsi="Arial"/>
          <w:sz w:val="15"/>
          <w:szCs w:val="15"/>
          <w:color w:val="auto"/>
        </w:rPr>
      </w:pPr>
    </w:p>
    <w:p>
      <w:pPr>
        <w:ind w:left="1401"/>
        <w:spacing w:after="0"/>
        <w:rPr>
          <w:rFonts w:ascii="Arial" w:cs="Arial" w:eastAsia="Arial" w:hAnsi="Arial"/>
          <w:sz w:val="15"/>
          <w:szCs w:val="15"/>
          <w:color w:val="auto"/>
        </w:rPr>
      </w:pPr>
      <w:r>
        <w:rPr>
          <w:rFonts w:ascii="Arial" w:cs="Arial" w:eastAsia="Arial" w:hAnsi="Arial"/>
          <w:sz w:val="15"/>
          <w:szCs w:val="15"/>
          <w:color w:val="auto"/>
        </w:rPr>
        <w:t>173</w:t>
      </w:r>
    </w:p>
    <w:p>
      <w:pPr>
        <w:spacing w:after="0" w:line="83" w:lineRule="exact"/>
        <w:rPr>
          <w:sz w:val="20"/>
          <w:szCs w:val="20"/>
          <w:color w:val="auto"/>
        </w:rPr>
      </w:pPr>
    </w:p>
    <w:p>
      <w:pPr>
        <w:ind w:left="1261" w:hanging="1261"/>
        <w:spacing w:after="0"/>
        <w:tabs>
          <w:tab w:leader="none" w:pos="1261" w:val="left"/>
        </w:tabs>
        <w:numPr>
          <w:ilvl w:val="0"/>
          <w:numId w:val="5"/>
        </w:numPr>
        <w:rPr>
          <w:rFonts w:ascii="Arial" w:cs="Arial" w:eastAsia="Arial" w:hAnsi="Arial"/>
          <w:sz w:val="15"/>
          <w:szCs w:val="15"/>
          <w:color w:val="auto"/>
        </w:rPr>
      </w:pPr>
      <w:r>
        <w:rPr>
          <w:rFonts w:ascii="Arial" w:cs="Arial" w:eastAsia="Arial" w:hAnsi="Arial"/>
          <w:sz w:val="15"/>
          <w:szCs w:val="15"/>
          <w:color w:val="auto"/>
        </w:rPr>
        <w:t>2,954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1144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1114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828" w:lineRule="exact"/>
        <w:rPr>
          <w:sz w:val="20"/>
          <w:szCs w:val="20"/>
          <w:color w:val="auto"/>
        </w:rPr>
      </w:pPr>
    </w:p>
    <w:p>
      <w:pPr>
        <w:sectPr>
          <w:pgSz w:w="11900" w:h="16838" w:orient="portrait"/>
          <w:cols w:equalWidth="0" w:num="2">
            <w:col w:w="7419" w:space="720"/>
            <w:col w:w="3101"/>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3220" w:type="dxa"/>
            <w:vAlign w:val="bottom"/>
            <w:gridSpan w:val="6"/>
          </w:tcPr>
          <w:p>
            <w:pPr>
              <w:ind w:left="28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0"/>
                <w:szCs w:val="20"/>
                <w:color w:val="auto"/>
              </w:rPr>
            </w:pPr>
          </w:p>
        </w:tc>
        <w:tc>
          <w:tcPr>
            <w:tcW w:w="2900" w:type="dxa"/>
            <w:vAlign w:val="bottom"/>
            <w:gridSpan w:val="4"/>
          </w:tcPr>
          <w:p>
            <w:pPr>
              <w:jc w:val="right"/>
              <w:ind w:right="190"/>
              <w:spacing w:after="0"/>
              <w:rPr>
                <w:sz w:val="20"/>
                <w:szCs w:val="20"/>
                <w:color w:val="auto"/>
              </w:rPr>
            </w:pPr>
            <w:r>
              <w:rPr>
                <w:rFonts w:ascii="Arial" w:cs="Arial" w:eastAsia="Arial" w:hAnsi="Arial"/>
                <w:sz w:val="18"/>
                <w:szCs w:val="18"/>
                <w:color w:val="auto"/>
                <w:w w:val="92"/>
              </w:rPr>
              <w:t>Nine Months Ended September 30,</w:t>
            </w:r>
          </w:p>
        </w:tc>
      </w:tr>
      <w:tr>
        <w:trPr>
          <w:trHeight w:val="250"/>
        </w:trPr>
        <w:tc>
          <w:tcPr>
            <w:tcW w:w="42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2021</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2,442</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2,249</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2,042</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r>
      <w:tr>
        <w:trPr>
          <w:trHeight w:val="20"/>
        </w:trPr>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0"/>
                <w:szCs w:val="20"/>
                <w:color w:val="auto"/>
              </w:rPr>
            </w:pP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22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Agent advances receivable</w:t>
            </w:r>
          </w:p>
        </w:tc>
        <w:tc>
          <w:tcPr>
            <w:tcW w:w="2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sz w:val="20"/>
                <w:szCs w:val="20"/>
                <w:color w:val="auto"/>
              </w:rPr>
            </w:pPr>
            <w:r>
              <w:rPr>
                <w:rFonts w:ascii="Arial" w:cs="Arial" w:eastAsia="Arial" w:hAnsi="Arial"/>
                <w:sz w:val="18"/>
                <w:szCs w:val="18"/>
                <w:i w:val="1"/>
                <w:iCs w:val="1"/>
                <w:color w:val="0000FF"/>
              </w:rPr>
              <w:t>Index</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6260" w:type="dxa"/>
            <w:vAlign w:val="bottom"/>
            <w:gridSpan w:val="2"/>
          </w:tcPr>
          <w:p>
            <w:pPr>
              <w:spacing w:after="0"/>
              <w:rPr>
                <w:sz w:val="20"/>
                <w:szCs w:val="20"/>
                <w:color w:val="auto"/>
              </w:rPr>
            </w:pPr>
            <w:r>
              <w:rPr>
                <w:rFonts w:ascii="Arial" w:cs="Arial" w:eastAsia="Arial" w:hAnsi="Arial"/>
                <w:sz w:val="18"/>
                <w:szCs w:val="18"/>
                <w:color w:val="auto"/>
              </w:rPr>
              <w:t>NOTE 4 – PREPAID EXPENSES AND OTHER ASSETS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Prepaid fees and services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incentives advances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Agent advances receivable, net of allowance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 pending settlement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Prepaid income taxes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current assets - other</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line origination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Agent incentives advances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advances receivable, net of allowance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Right-of-use assets, net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Funds held by seized banking entities, net of allowance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55"/>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September 2021, local banking regulators in Mexico resolved to close and liquidate a local financial institution, citing a lack of compliance with minimum capital requirements. The Company has approximately $5.2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As a result of management’s reassessment of the current status of the liquidation process, which has been delayed in the court system in Mexico, during the three months ended September 30, 2022, the Company recorded an additional provision of $1.6 million; consequently, the Company maintains a valuation allowance of approximately $3.6 million in connection with the balance of deposits held by the financial institution as a result of its 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5 – GOODWILL AND INTANGIBLE ASSETS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Goodwill and the majority of intangible assets on the condensed consolidated balance sheets of the Company were recognized from a prior acquisition. Intangible assets on the condensed consolidated balance sheets of the Company consist of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and nine months ended September 30, 2022.</w:t>
      </w:r>
    </w:p>
    <w:p>
      <w:pPr>
        <w:spacing w:after="0" w:line="2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Intangibles</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15,392</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Acquisition of agent locations</w:t>
            </w:r>
          </w:p>
        </w:tc>
        <w:tc>
          <w:tcPr>
            <w:tcW w:w="3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7"/>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r>
      <w:tr>
        <w:trPr>
          <w:trHeight w:val="229"/>
        </w:trPr>
        <w:tc>
          <w:tcPr>
            <w:tcW w:w="62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September 30, 2022</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12,599</w:t>
            </w:r>
          </w:p>
        </w:tc>
      </w:tr>
      <w:tr>
        <w:trPr>
          <w:trHeight w:val="21"/>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remainder of 2022 and thereafter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3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r>
      <w:tr>
        <w:trPr>
          <w:trHeight w:val="254"/>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6 –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conduct certain of our operations, the Company is a party to leases for office space, warehouses and Company-operated store locations. Our leases have remaining terms of up to 8.9 years, some of which include options to renew and extend the lease. We presently intend to exercise certain of the extension options available to us and for purposes of computing the right-of-use assets and lease liabilities required by ASC 842, we have incorporated the options to renew that are reasonably certain of exercise by us.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adopted ASC 842, including related amendments, effective January 1, 2022, using the modified retrospective approach and used the effective date as the date of initial application; therefore comparative periods were not adjusted. The Company determined that all of its leasing arrangements are classified as operating leases. The Company elected to apply the practical expedients to (i) not reassess its prior conclusions about lease identification, lease classification and initial direct costs and (ii) use hindsight in determining the lease term. In addition, the Company elected not to separate lease and non-lease components for all arrangements where the Company is a lessee. Adoption of the new standard resulted in the recording of additional right-of-use assets and lease liabilities of approximately $5.6 million as of January 1, 2022. The adoption of ASC 842 did not materially impact the Company’s consolidated net income and had no impact on cash flows. Additionally, there was no cumulative effect of adoption recognized on retained earnings in the condensed consolidated statement of changes in stockholders’ equity.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of right-of-use assets and lease liabilities in the condensed consolidated balance sheet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Leases</w:t>
            </w: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2"/>
              </w:rPr>
              <w:t>September 30, 2022</w:t>
            </w:r>
          </w:p>
        </w:tc>
      </w:tr>
      <w:tr>
        <w:trPr>
          <w:trHeight w:val="216"/>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4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 assets</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r>
      <w:tr>
        <w:trPr>
          <w:trHeight w:val="223"/>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leased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70"/>
        </w:trPr>
        <w:tc>
          <w:tcPr>
            <w:tcW w:w="3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Operating</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Accrued and 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3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Operating</w:t>
            </w:r>
          </w:p>
        </w:tc>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right of-use assets are recorded net of accumulated amortization of $1.5 million as of September 30, 2022.</w:t>
      </w:r>
    </w:p>
    <w:p>
      <w:pPr>
        <w:spacing w:after="0" w:line="200" w:lineRule="exact"/>
        <w:rPr>
          <w:rFonts w:ascii="Arial" w:cs="Arial" w:eastAsia="Arial" w:hAnsi="Arial"/>
          <w:sz w:val="16"/>
          <w:szCs w:val="16"/>
          <w:color w:val="auto"/>
        </w:rPr>
      </w:pPr>
    </w:p>
    <w:p>
      <w:pPr>
        <w:spacing w:after="0" w:line="313" w:lineRule="exact"/>
        <w:rPr>
          <w:rFonts w:ascii="Arial" w:cs="Arial" w:eastAsia="Arial" w:hAnsi="Arial"/>
          <w:sz w:val="16"/>
          <w:szCs w:val="16"/>
          <w:color w:val="auto"/>
        </w:rPr>
      </w:pPr>
    </w:p>
    <w:p>
      <w:pPr>
        <w:ind w:left="586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three and nine months ended September 30, 2022,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1840" w:type="dxa"/>
            <w:vAlign w:val="bottom"/>
            <w:gridSpan w:val="2"/>
          </w:tcPr>
          <w:p>
            <w:pPr>
              <w:ind w:left="440"/>
              <w:spacing w:after="0"/>
              <w:rPr>
                <w:sz w:val="20"/>
                <w:szCs w:val="20"/>
                <w:color w:val="auto"/>
              </w:rPr>
            </w:pPr>
            <w:r>
              <w:rPr>
                <w:rFonts w:ascii="Arial" w:cs="Arial" w:eastAsia="Arial" w:hAnsi="Arial"/>
                <w:sz w:val="18"/>
                <w:szCs w:val="18"/>
                <w:b w:val="1"/>
                <w:bCs w:val="1"/>
                <w:color w:val="auto"/>
              </w:rPr>
              <w:t>Lease Cost</w:t>
            </w:r>
          </w:p>
        </w:tc>
        <w:tc>
          <w:tcPr>
            <w:tcW w:w="4300" w:type="dxa"/>
            <w:vAlign w:val="bottom"/>
            <w:gridSpan w:val="2"/>
          </w:tcPr>
          <w:p>
            <w:pPr>
              <w:ind w:left="1580"/>
              <w:spacing w:after="0"/>
              <w:rPr>
                <w:sz w:val="20"/>
                <w:szCs w:val="20"/>
                <w:color w:val="auto"/>
              </w:rPr>
            </w:pPr>
            <w:r>
              <w:rPr>
                <w:rFonts w:ascii="Arial" w:cs="Arial" w:eastAsia="Arial" w:hAnsi="Arial"/>
                <w:sz w:val="18"/>
                <w:szCs w:val="18"/>
                <w:b w:val="1"/>
                <w:bCs w:val="1"/>
                <w:color w:val="auto"/>
              </w:rPr>
              <w:t>Classification</w:t>
            </w:r>
          </w:p>
        </w:tc>
        <w:tc>
          <w:tcPr>
            <w:tcW w:w="140" w:type="dxa"/>
            <w:vAlign w:val="bottom"/>
          </w:tcPr>
          <w:p>
            <w:pPr>
              <w:spacing w:after="0"/>
              <w:rPr>
                <w:sz w:val="20"/>
                <w:szCs w:val="20"/>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2022</w:t>
            </w:r>
          </w:p>
        </w:tc>
        <w:tc>
          <w:tcPr>
            <w:tcW w:w="160" w:type="dxa"/>
            <w:vAlign w:val="bottom"/>
          </w:tcPr>
          <w:p>
            <w:pPr>
              <w:spacing w:after="0"/>
              <w:rPr>
                <w:sz w:val="20"/>
                <w:szCs w:val="20"/>
                <w:color w:val="auto"/>
              </w:rPr>
            </w:pPr>
          </w:p>
        </w:tc>
        <w:tc>
          <w:tcPr>
            <w:tcW w:w="1820" w:type="dxa"/>
            <w:vAlign w:val="bottom"/>
          </w:tcPr>
          <w:p>
            <w:pPr>
              <w:ind w:left="80"/>
              <w:spacing w:after="0"/>
              <w:rPr>
                <w:sz w:val="20"/>
                <w:szCs w:val="20"/>
                <w:color w:val="auto"/>
              </w:rPr>
            </w:pPr>
            <w:r>
              <w:rPr>
                <w:rFonts w:ascii="Arial" w:cs="Arial" w:eastAsia="Arial" w:hAnsi="Arial"/>
                <w:sz w:val="18"/>
                <w:szCs w:val="18"/>
                <w:b w:val="1"/>
                <w:bCs w:val="1"/>
                <w:color w:val="auto"/>
              </w:rPr>
              <w:t>September 30, 2022</w:t>
            </w:r>
          </w:p>
        </w:tc>
      </w:tr>
      <w:tr>
        <w:trPr>
          <w:trHeight w:val="229"/>
        </w:trPr>
        <w:tc>
          <w:tcPr>
            <w:tcW w:w="1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Other 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for the three and nine months ended September 30, 2021 was $0.6 million and $1.8 million, respectively, which is included in other selling, general and administrative expenses in the condensed consolidated statements of income and comprehensive income.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Company’s weighted-average remaining lease terms on its operating leases is 2.5 years, and the Company’s weighted-average discount rate is 2.84%, which is the Company’s incremental borrowing rate. The Company used its incremental borrowing rate for all leases, as none of the Company’s lease agreements provide a readily determinable implicit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Payments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minimum lease payments for assets under non-cancelable operating lease agreements with original terms of more than one year for the remainder of 2022 and thereafter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 7 – WIRE TRANSFERS AND MONEY ORDERS PAYABLE, NET</w:t>
            </w: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color w:val="auto"/>
                <w:w w:val="91"/>
              </w:rPr>
              <w:t>Wire transfers and money orders payable, net consisted of the following (in thousands):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color w:val="auto"/>
                <w:w w:val="98"/>
              </w:rPr>
              <w:t>December 31, 2021</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sz w:val="20"/>
                <w:szCs w:val="20"/>
                <w:color w:val="auto"/>
              </w:rPr>
            </w:pPr>
            <w:r>
              <w:rPr>
                <w:rFonts w:ascii="Arial" w:cs="Arial" w:eastAsia="Arial" w:hAnsi="Arial"/>
                <w:sz w:val="18"/>
                <w:szCs w:val="18"/>
                <w:i w:val="1"/>
                <w:iCs w:val="1"/>
                <w:color w:val="0000FF"/>
              </w:rPr>
              <w:t>Index</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07"/>
        </w:trPr>
        <w:tc>
          <w:tcPr>
            <w:tcW w:w="6260" w:type="dxa"/>
            <w:vAlign w:val="bottom"/>
            <w:gridSpan w:val="2"/>
          </w:tcPr>
          <w:p>
            <w:pPr>
              <w:spacing w:after="0"/>
              <w:rPr>
                <w:sz w:val="20"/>
                <w:szCs w:val="20"/>
                <w:color w:val="auto"/>
              </w:rPr>
            </w:pPr>
            <w:r>
              <w:rPr>
                <w:rFonts w:ascii="Arial" w:cs="Arial" w:eastAsia="Arial" w:hAnsi="Arial"/>
                <w:sz w:val="18"/>
                <w:szCs w:val="18"/>
                <w:color w:val="auto"/>
              </w:rPr>
              <w:t>NOTE 8 – ACCRUED AND OTHER LIABILITIES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7"/>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2021</w:t>
            </w:r>
          </w:p>
        </w:tc>
      </w:tr>
      <w:tr>
        <w:trPr>
          <w:trHeight w:val="229"/>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r>
      <w:tr>
        <w:trPr>
          <w:trHeight w:val="230"/>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Accrued salaries and benefits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4,892</w:t>
            </w:r>
          </w:p>
        </w:tc>
      </w:tr>
      <w:tr>
        <w:trPr>
          <w:trHeight w:val="22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bank charges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Accrued legal fees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other professional fees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Accrued taxes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4,908</w:t>
            </w:r>
          </w:p>
        </w:tc>
      </w:tr>
      <w:tr>
        <w:trPr>
          <w:trHeight w:val="23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current portion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Deferred revenue loyalty program</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37"/>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29"/>
        </w:trPr>
        <w:tc>
          <w:tcPr>
            <w:tcW w:w="40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33,760</w:t>
            </w:r>
          </w:p>
        </w:tc>
      </w:tr>
      <w:tr>
        <w:trPr>
          <w:trHeight w:val="21"/>
        </w:trPr>
        <w:tc>
          <w:tcPr>
            <w:tcW w:w="4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changes in the deferred revenue loyalty program liability (in thousands):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2236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deferred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236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16319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during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September 30, 2022</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NOTE 9 –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1" w:hanging="1241"/>
        <w:spacing w:after="0"/>
        <w:tabs>
          <w:tab w:leader="none" w:pos="1241" w:val="left"/>
        </w:tabs>
        <w:numPr>
          <w:ilvl w:val="0"/>
          <w:numId w:val="7"/>
        </w:numPr>
        <w:rPr>
          <w:rFonts w:ascii="Arial" w:cs="Arial" w:eastAsia="Arial" w:hAnsi="Arial"/>
          <w:sz w:val="17"/>
          <w:szCs w:val="17"/>
          <w:color w:val="auto"/>
        </w:rPr>
      </w:pPr>
      <w:r>
        <w:rPr>
          <w:rFonts w:ascii="Arial" w:cs="Arial" w:eastAsia="Arial" w:hAnsi="Arial"/>
          <w:sz w:val="17"/>
          <w:szCs w:val="17"/>
          <w:color w:val="auto"/>
        </w:rPr>
        <w:t>3,391</w:t>
      </w:r>
    </w:p>
    <w:p>
      <w:pPr>
        <w:spacing w:after="0" w:line="34" w:lineRule="exact"/>
        <w:rPr>
          <w:rFonts w:ascii="Arial" w:cs="Arial" w:eastAsia="Arial" w:hAnsi="Arial"/>
          <w:sz w:val="17"/>
          <w:szCs w:val="17"/>
          <w:color w:val="auto"/>
        </w:rPr>
      </w:pPr>
    </w:p>
    <w:p>
      <w:pPr>
        <w:ind w:left="1241"/>
        <w:spacing w:after="0"/>
        <w:rPr>
          <w:rFonts w:ascii="Arial" w:cs="Arial" w:eastAsia="Arial" w:hAnsi="Arial"/>
          <w:sz w:val="17"/>
          <w:szCs w:val="17"/>
          <w:color w:val="auto"/>
        </w:rPr>
      </w:pPr>
      <w:r>
        <w:rPr>
          <w:rFonts w:ascii="Arial" w:cs="Arial" w:eastAsia="Arial" w:hAnsi="Arial"/>
          <w:sz w:val="17"/>
          <w:szCs w:val="17"/>
          <w:color w:val="auto"/>
        </w:rPr>
        <w:t>2,184</w:t>
      </w:r>
    </w:p>
    <w:p>
      <w:pPr>
        <w:spacing w:after="0" w:line="34"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(1,485)</w:t>
      </w:r>
    </w:p>
    <w:p>
      <w:pPr>
        <w:spacing w:after="0" w:line="49" w:lineRule="exact"/>
        <w:rPr>
          <w:sz w:val="20"/>
          <w:szCs w:val="20"/>
          <w:color w:val="auto"/>
        </w:rPr>
      </w:pPr>
    </w:p>
    <w:p>
      <w:pPr>
        <w:ind w:left="1241" w:hanging="1241"/>
        <w:spacing w:after="0"/>
        <w:tabs>
          <w:tab w:leader="none" w:pos="1241" w:val="left"/>
        </w:tabs>
        <w:numPr>
          <w:ilvl w:val="0"/>
          <w:numId w:val="8"/>
        </w:numPr>
        <w:rPr>
          <w:rFonts w:ascii="Arial" w:cs="Arial" w:eastAsia="Arial" w:hAnsi="Arial"/>
          <w:sz w:val="17"/>
          <w:szCs w:val="17"/>
          <w:color w:val="auto"/>
        </w:rPr>
      </w:pPr>
      <w:r>
        <w:rPr>
          <w:rFonts w:ascii="Arial" w:cs="Arial" w:eastAsia="Arial" w:hAnsi="Arial"/>
          <w:sz w:val="17"/>
          <w:szCs w:val="17"/>
          <w:color w:val="auto"/>
        </w:rPr>
        <w:t>4,090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097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1097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37" w:lineRule="exact"/>
        <w:rPr>
          <w:sz w:val="20"/>
          <w:szCs w:val="20"/>
          <w:color w:val="auto"/>
        </w:rPr>
      </w:pPr>
    </w:p>
    <w:p>
      <w:pPr>
        <w:sectPr>
          <w:pgSz w:w="11900" w:h="16838" w:orient="portrait"/>
          <w:cols w:equalWidth="0" w:num="2">
            <w:col w:w="7440" w:space="659"/>
            <w:col w:w="3141"/>
          </w:cols>
          <w:pgMar w:left="320" w:top="108"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2021</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facility</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85,313</w:t>
            </w:r>
          </w:p>
        </w:tc>
      </w:tr>
      <w:tr>
        <w:trPr>
          <w:trHeight w:val="223"/>
        </w:trPr>
        <w:tc>
          <w:tcPr>
            <w:tcW w:w="6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85,313</w:t>
            </w:r>
          </w:p>
        </w:tc>
      </w:tr>
      <w:tr>
        <w:trPr>
          <w:trHeight w:val="230"/>
        </w:trPr>
        <w:tc>
          <w:tcPr>
            <w:tcW w:w="6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(3,882)</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origination costs</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29"/>
        </w:trPr>
        <w:tc>
          <w:tcPr>
            <w:tcW w:w="6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79,211</w:t>
            </w: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(1) Current portion of long-term debt is net of debt origination costs of approximately $0.5 million both at September 30, 2022 and December 31, 2021.</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24, 2021, 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refinancing was accounted for as a debt modification. The balance of the unamortized debt origination costs of $1.8 million under the Company’s previous credit agreement, the origination costs paid to the Loan Parties of $1.0 million in connection with the term loan facility of the A&amp;R Credit Agreement and debt origination costs paid to the Loan Parties and third-party costs of $1.8 million incurred in connection with the revolving credit facility of the A&amp;R Credit Agreement will be associated with the new arrangement, and therefore, they will be amortized over the remaining life of the A&amp;R Credit Agreement using the straight-line method, as it is not significantly different than the effective interest method. Debt origination costs paid to third parties related to a portion of the term loan facility in connection with the A&amp;R Credit Agreement were expensed as incurred during the second quarter of 2021.</w:t>
      </w:r>
    </w:p>
    <w:p>
      <w:pPr>
        <w:sectPr>
          <w:pgSz w:w="11900" w:h="16838" w:orient="portrait"/>
          <w:cols w:equalWidth="0" w:num="1">
            <w:col w:w="11240"/>
          </w:cols>
          <w:pgMar w:left="320" w:top="108" w:right="339" w:bottom="1440" w:gutter="0" w:footer="0" w:header="0"/>
          <w:type w:val="continuous"/>
        </w:sectPr>
      </w:pPr>
    </w:p>
    <w:p>
      <w:pPr>
        <w:spacing w:after="0" w:line="27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unamortized portion of debt origination costs totaled approximately $3.5 million and $4.5 million at September 30, 2022 and December 31, 2021, respectively. Amortization of debt origination costs is included as a component of interest expense in the condensed consolidated statements of income and comprehensive income and amounted to approximately $0.2 million for both the three months ended September 30, 2022 and 2021, and $0.8 million and $0.6 million for the nine months ended September 30, 2022 and 2021, respectively.</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nine months ended September 30, 2022 for the term loan facility and revolving credit facility were 4.18% and 0.80%, respectively.</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is payable (x)(i) generally on the last day of each interest period selected for LIBOR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A&amp;R Credit Agreement contains financial covenants that require the Company to maintain a quarterly minimum fixed charge coverage ratio of 1.25:1.00 and a quarterly maximum consolidated leverage ratio of 3.25:1.00.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 Through September 30, 2022 and as described in Note 12, the Company funded repurchases of shares of the Company’s common stock in an aggregate amount of $40.0 million plus the Available Amount.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10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non-financial assets measured at fair value on a nonrecurring basis include goodwill and intangible assets. All other financial assets and liabilities are carried at amortized cost.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balances are representative of their fair values as these balances are comprised of deposits available on demand. The carrying amounts of accounts receivable, prepaid wires, accounts payable and wire transfers and money orders payable are representative of their fair values because of the short turnover of these instruments.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revolving credit facility would approximate face value given the payment schedule and interest rate structure, which approximates current market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11 –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September 30, 2022, 2.6 million shares remained available for future awards under the 2020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$0.1 million and $0.5 million for the three months ended September 30, 2022 and 2021, respectively, and $1.2 million and $1.8 million for the nine months ended September 30, 2022 and 2021, respectively, which are included in salaries and benefits in the condensed consolidated statements of income and comprehensive income. As of September 30, 2022, unrecognized compensation expense related to stock options of approximately $0.9 million is expected to be recognized over a weighted-average period of 1.3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during the nine months ended September 30, 2022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1,898,687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RSUs granted under the Plans to the Company’s employees generally vest in four equal annual installments beginning one year after the date of the grant, while RSUs issued to the Company’s independent directors vest on the one-year anniversary from the grant date. The Company recognized compensation expense for RSUs of approximately $0.5 million and $0.3 million for the three months ended September 30, 2022 and 2021, respectively, and $1.3 million and $0.8 million for the nine months ended September 30, 2022 and 2021, respectively, which are included in salaries and benefits in the condensed consolidated statements of income and comprehensive income.</w:t>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unrecognized compensation expense related to RSUs of approximately $4.6 million is expected to be recognized over a weighted-average period of 1.8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during the nine months ended September 30, 2022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r>
      <w:tr>
        <w:trPr>
          <w:trHeight w:val="188"/>
        </w:trPr>
        <w:tc>
          <w:tcPr>
            <w:tcW w:w="6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6"/>
              </w:rPr>
              <w:t>Average</w:t>
            </w:r>
          </w:p>
        </w:tc>
      </w:tr>
      <w:tr>
        <w:trPr>
          <w:trHeight w:val="237"/>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Number of RSUs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2021</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231,934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ind w:left="660"/>
              <w:spacing w:after="0"/>
              <w:rPr>
                <w:sz w:val="20"/>
                <w:szCs w:val="20"/>
                <w:color w:val="auto"/>
              </w:rPr>
            </w:pPr>
            <w:r>
              <w:rPr>
                <w:rFonts w:ascii="Arial" w:cs="Arial" w:eastAsia="Arial" w:hAnsi="Arial"/>
                <w:sz w:val="18"/>
                <w:szCs w:val="18"/>
                <w:color w:val="auto"/>
                <w:w w:val="98"/>
              </w:rPr>
              <w:t>216,426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17.47</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(68,689)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3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(40,104)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15.69</w:t>
            </w: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September 30, 2022</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339,567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Awards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Lead Independent Director and Chairs of the Committees of the Board of Directors are granted, in aggregate, $64.0 thousand in awards of fully vested shares of the Company’s common stock, payable on a quarterly basis at the end of each quarter in payment of fees earned in such capacities; effective in the third quarter of 2022 this amount was increased to $80.5 thousand. During the three and nine months ended September 30, 2022, 782 and 2,560 fully vested shares, respectively, were granted to the Lead Independent Director and Chairs of the Committees of the Board of Directors resulting in compensation expense of $20.1 thousand and $52.1 thousand, respectively, recorded and included in salaries and benefits in the condensed consolidated statements of income and comprehensive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RSAs issued under the Plans to the Company’s employees generally vest in four equal annual installments beginning one year after the date of grant. The Company recognized compensation expense for RSAs granted of $0.2 million and $0.1 million for the three months ended September 30, 2022 and 2021, respectively, and $0.5 million and $0.2 million for the nine months ended September 30, 2022 and 2021, respectively, which are included in salaries and benefits in the condensed consolidated statements of income and comprehensive income. As of September 30, 2022, there was $2.0 million of unrecognized compensation expense related to RSAs, which is expected to be recognized over a weighted-average period of 2.0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RSA activity during the nine months ended September 30, 2022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r>
      <w:tr>
        <w:trPr>
          <w:trHeight w:val="175"/>
        </w:trPr>
        <w:tc>
          <w:tcPr>
            <w:tcW w:w="6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r>
      <w:tr>
        <w:trPr>
          <w:trHeight w:val="250"/>
        </w:trPr>
        <w:tc>
          <w:tcPr>
            <w:tcW w:w="66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Number of RSAs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93,400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3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September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Stock Units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PSUs granted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or adjusted earnings per share parameters for a period of two years combined with a service period of three years. Compensation cost is recognized over the requisite service period when it is probable that the performance condition will be satisfied. During the third quarter of 2022, the Company reassessed the probability of vesting for PSU awards and determined that it was probable that a higher performance target will be achieved. Therefore, the Company recognized a cumulative catch-up adjustment of approximately $1.1 million as additional compensation expense for the three months ended September 30, 2022.</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compensation expense for PSUs of $1.8 million and $0.2 million for the three months ended September 30, 2022 and 2021, respectively, and $2.5 million and $0.5 million for the nine months ended September 30, 2022 and 2021, respectively, which are included in salaries and benefits in the condensed consolidated statements of income and comprehensive income. As of September 30,</w:t>
      </w:r>
    </w:p>
    <w:p>
      <w:pPr>
        <w:sectPr>
          <w:pgSz w:w="11900" w:h="16838" w:orient="portrait"/>
          <w:cols w:equalWidth="0" w:num="1">
            <w:col w:w="11240"/>
          </w:cols>
          <w:pgMar w:left="320" w:top="125" w:right="339" w:bottom="1440" w:gutter="0" w:footer="0" w:header="0"/>
        </w:sectPr>
      </w:pPr>
    </w:p>
    <w:p>
      <w:pPr>
        <w:spacing w:after="0" w:line="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2022, there was $4.4 million of unrecognized compensation expense related to PSUs, which is expected to be recognized over a weighted-average period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during the nine months ended September 30, 2022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8"/>
        </w:trPr>
        <w:tc>
          <w:tcPr>
            <w:tcW w:w="5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6"/>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Weighted-</w:t>
            </w: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r>
      <w:tr>
        <w:trPr>
          <w:trHeight w:val="250"/>
        </w:trPr>
        <w:tc>
          <w:tcPr>
            <w:tcW w:w="5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93"/>
              </w:rPr>
              <w:t>Number of PSUs</w:t>
            </w:r>
          </w:p>
        </w:tc>
        <w:tc>
          <w:tcPr>
            <w:tcW w:w="100" w:type="dxa"/>
            <w:vAlign w:val="bottom"/>
          </w:tcPr>
          <w:p>
            <w:pPr>
              <w:spacing w:after="0"/>
              <w:rPr>
                <w:sz w:val="21"/>
                <w:szCs w:val="21"/>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18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Grant Price</w:t>
            </w:r>
          </w:p>
        </w:tc>
      </w:tr>
      <w:tr>
        <w:trPr>
          <w:trHeight w:val="23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131,224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September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302,724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 12 – EQUITY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purchases of treasury stock under the cost method. Any direct costs incurred to acquire treasury stock are considered stock issue costs and added to the cost of the treasury stock. On August 9, 2022, the Company entered into an agreement with SPC Intermex, LP, a related party, for the purchase of 1,172,485 shares of the Company’s common stock for a total purchase price of $27.6 million, in a privately-negotiated transaction. During the three and nine months ended September 30, 2022, including the shares previously mentioned, the Company purchased 1,287,714 shares and 2,015,615 shares, respectively, for an aggregate purchase price of $30.1 million and $43.7 million, respectively. During both the three and nine months ended September 30, 2021, the Company purchased 70,440 shares for an aggregate purchase price of $1.2 million. As of September 30, 2022, there was $18.3 million available for future share repurchases under the Repurchase Program. The share repurchases under the Repurchase Program and the privately negotiated transaction totaled $49.3 million through September 30,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NOTE 13 – EARNINGS PER SHARE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per share for the periods indicated (in thousands, except for share data):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sz w:val="20"/>
                <w:szCs w:val="20"/>
                <w:color w:val="auto"/>
              </w:rPr>
            </w:pPr>
            <w:r>
              <w:rPr>
                <w:rFonts w:ascii="Arial" w:cs="Arial" w:eastAsia="Arial" w:hAnsi="Arial"/>
                <w:sz w:val="18"/>
                <w:szCs w:val="18"/>
                <w:i w:val="1"/>
                <w:iCs w:val="1"/>
                <w:color w:val="0000FF"/>
              </w:rPr>
              <w:t>Index</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797"/>
        </w:trPr>
        <w:tc>
          <w:tcPr>
            <w:tcW w:w="40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5"/>
          </w:tcPr>
          <w:p>
            <w:pPr>
              <w:ind w:left="8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4"/>
                <w:szCs w:val="24"/>
                <w:color w:val="auto"/>
              </w:rPr>
            </w:pPr>
          </w:p>
        </w:tc>
        <w:tc>
          <w:tcPr>
            <w:tcW w:w="2900" w:type="dxa"/>
            <w:vAlign w:val="bottom"/>
            <w:gridSpan w:val="4"/>
          </w:tcPr>
          <w:p>
            <w:pPr>
              <w:jc w:val="right"/>
              <w:ind w:right="190"/>
              <w:spacing w:after="0"/>
              <w:rPr>
                <w:sz w:val="20"/>
                <w:szCs w:val="20"/>
                <w:color w:val="auto"/>
              </w:rPr>
            </w:pPr>
            <w:r>
              <w:rPr>
                <w:rFonts w:ascii="Arial" w:cs="Arial" w:eastAsia="Arial" w:hAnsi="Arial"/>
                <w:sz w:val="18"/>
                <w:szCs w:val="18"/>
                <w:color w:val="auto"/>
                <w:w w:val="92"/>
              </w:rPr>
              <w:t>Nine Months Ended September 30,</w:t>
            </w:r>
          </w:p>
        </w:tc>
      </w:tr>
      <w:tr>
        <w:trPr>
          <w:trHeight w:val="236"/>
        </w:trPr>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57"/>
        </w:trPr>
        <w:tc>
          <w:tcPr>
            <w:tcW w:w="4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33,711</w:t>
            </w:r>
          </w:p>
        </w:tc>
      </w:tr>
      <w:tr>
        <w:trPr>
          <w:trHeight w:val="257"/>
        </w:trPr>
        <w:tc>
          <w:tcPr>
            <w:tcW w:w="4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37,390,632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38,647,931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37,999,709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38,441,767</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66,964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103,526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44,843</w:t>
            </w:r>
          </w:p>
        </w:tc>
      </w:tr>
      <w:tr>
        <w:trPr>
          <w:trHeight w:val="23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548,371</w:t>
            </w: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RSAs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149,888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11,336</w:t>
            </w:r>
          </w:p>
        </w:tc>
      </w:tr>
      <w:tr>
        <w:trPr>
          <w:trHeight w:val="249"/>
        </w:trPr>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PSUs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w:t>
            </w:r>
          </w:p>
        </w:tc>
      </w:tr>
      <w:tr>
        <w:trPr>
          <w:trHeight w:val="217"/>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38,425,868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39,336,051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38,907,283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39,071,622</w:t>
            </w:r>
          </w:p>
        </w:tc>
      </w:tr>
      <w:tr>
        <w:trPr>
          <w:trHeight w:val="257"/>
        </w:trPr>
        <w:tc>
          <w:tcPr>
            <w:tcW w:w="494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common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there were 12.5 thousand stock options and 15.1 thousand RSUs excluded from the diluted earnings per share calculation because, under the treasury stock method, the inclusion of these would be anti-dilutive.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there were 0.4 million stock options excluded from the diluted earnings per share calculation because, under the treasury stock method, the inclusion of these would be anti-dilutive.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12, the Company repurchased 1,287,714 shares and 2,015,615 shares of treasury stock for $30.1 million and $43.7 million in the three and nine months ended September 30, 2022, respectively. The effect of these repurchases on the Company’s weighted-average shares outstanding for the three and nine months ended September 30, 2022 was a reduction of 1,278,044 shares and 525,131 shares, respectively, due to the timing of the repurchases.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ind w:left="52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2900" w:type="dxa"/>
            <w:vAlign w:val="bottom"/>
            <w:gridSpan w:val="4"/>
          </w:tcPr>
          <w:p>
            <w:pPr>
              <w:jc w:val="right"/>
              <w:ind w:right="810"/>
              <w:spacing w:after="0"/>
              <w:rPr>
                <w:sz w:val="20"/>
                <w:szCs w:val="20"/>
                <w:color w:val="auto"/>
              </w:rPr>
            </w:pPr>
            <w:r>
              <w:rPr>
                <w:rFonts w:ascii="Arial" w:cs="Arial" w:eastAsia="Arial" w:hAnsi="Arial"/>
                <w:sz w:val="18"/>
                <w:szCs w:val="18"/>
                <w:color w:val="auto"/>
              </w:rPr>
              <w:t>Nine Months Ended</w:t>
            </w:r>
          </w:p>
        </w:tc>
      </w:tr>
      <w:tr>
        <w:trPr>
          <w:trHeight w:val="250"/>
        </w:trPr>
        <w:tc>
          <w:tcPr>
            <w:tcW w:w="4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1040" w:type="dxa"/>
            <w:vAlign w:val="bottom"/>
            <w:tcBorders>
              <w:bottom w:val="single" w:sz="8" w:color="auto"/>
            </w:tcBorders>
          </w:tcPr>
          <w:p>
            <w:pPr>
              <w:spacing w:after="0"/>
              <w:rPr>
                <w:sz w:val="21"/>
                <w:szCs w:val="21"/>
                <w:color w:val="auto"/>
              </w:rPr>
            </w:pPr>
          </w:p>
        </w:tc>
      </w:tr>
      <w:tr>
        <w:trPr>
          <w:trHeight w:val="237"/>
        </w:trPr>
        <w:tc>
          <w:tcPr>
            <w:tcW w:w="46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2021</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57,534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45,316</w:t>
            </w:r>
          </w:p>
        </w:tc>
      </w:tr>
      <w:tr>
        <w:trPr>
          <w:trHeight w:val="23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12,082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9,516</w:t>
            </w:r>
          </w:p>
        </w:tc>
      </w:tr>
      <w:tr>
        <w:trPr>
          <w:trHeight w:val="256"/>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3,552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2,409</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48</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(578)</w:t>
            </w: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 income tax provision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2,654</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3,629</w:t>
            </w:r>
          </w:p>
        </w:tc>
        <w:tc>
          <w:tcPr>
            <w:tcW w:w="8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13,270</w:t>
            </w:r>
          </w:p>
        </w:tc>
        <w:tc>
          <w:tcPr>
            <w:tcW w:w="80" w:type="dxa"/>
            <w:vAlign w:val="bottom"/>
            <w:tcBorders>
              <w:top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11,605</w:t>
            </w:r>
          </w:p>
        </w:tc>
      </w:tr>
      <w:tr>
        <w:trPr>
          <w:trHeight w:val="21"/>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ectPr>
          <w:pgSz w:w="11900" w:h="16838" w:orient="portrait"/>
          <w:cols w:equalWidth="0" w:num="1">
            <w:col w:w="11240"/>
          </w:cols>
          <w:pgMar w:left="320" w:top="108" w:right="339" w:bottom="1440" w:gutter="0" w:footer="0" w:header="0"/>
        </w:sect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2038. After consideration of all evidence, both positive and negative, management has determined that no valuation allowance is required at September 30, 2022 on the Company’s U.S. federal or state deferred tax assets; however, a valuation allowance has been recorded at September 30, 2022 on deferred tax assets associated with Canadian net operating loss carryforwards.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income and comprehensive income was impacted by state taxes, foreign tax rates applicable to the Company’s foreign subsidiaries that are higher or lower than the U.S. statutory rate, non-deductible officer compensation and share-based compensation tax benefits.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50 states in the United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September 30, 2022, the Company’s subsidiaries were in compliance with these two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SUBSEQUENT EVENTS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 2022 (the “Closing Date”), the Company finalized the previously announced acquisition of 100% of the issued and outstanding stock of La Nacional (see Note 1) (the “Acquisition”). La Nacional maintains a significant presence in the Northeast region of the U.S., which complements the Company's current business in the region and expands the Company's market share in the Dominican Republic.</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paid by the Company in connection with the Acquisition was $42.3 million in cash, subject to customary purchase price adjustments. The Company may also pay up to an additional $2.4 million in cash based on the achievement of specified financial performance targets as well as operating performance milestones during 2023. The Company incurred $0.3 million and $0.5 million of acquisition-related costs in the three and nine months ended September 30, 2022, respectively, which are included in other selling, general and administrative expenses on the condensed consolidated statements of income and comprehensive income.</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date of these condensed consolidated financial statements, due to the recent closing of the Acquisition, the initial accounting for the Acquisition is incomplete, including a preliminary allocation of the consideration transferred to the fair value of the assets acquired and liabilities assumed. In addition, due to the timing of the Acquisition, the income tax considerations of this transaction have not been fully determined.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2021.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leading omnichannel money remittance service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consumers can send money to beneficiaries in 16 LAC countries, eight countries in Africa and two countries in Asia. Our services are accessible in person through over 100,000 independent sending and paying agents and 37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Money remittance services to LAC countries, mainly Mexico and Guatemala,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2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money remittance services enable consumers to send funds through our broad network of locations in the United States and Canada that are primarily operated by third-party businesses, as well as through our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For the nine months ended September 30, 2022, we have grown our agent network by approximately 7.1%. For the nine months ended September 30, 2022, principal amount sent increased by approximately 22.2% to $15.2 billion, as compared to the same period in 2021 and total remittances processed were approximately 34.1 million, representing an increase of approximately 17.8%, as compared to the same period in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coronavirus (“COVID-19”) pandemic that started in 2020 has had and continues to have a significant effect on economic conditions in the United States of America (“United States” or “U.S.”), as the efforts of federal, state, local and foreign governments to react to the public health crisis with mitigation measures has created, and to a certain degree continues to cause, significant uncertainties in the U.S. and global economy, particularly as a result of the emergence of new variants and sub-variants of COVID-19. Public health officials and medical professionals have warned that COVID-19 resurgences may continue to occur due to a variety of factors, including the extent of economic activity, social interaction, vaccination rates and the emergence of potent variants. It is unclear if and when resurgences will occur or how long any resurgence will last, how severe it will be, and what safety measures governments and businesses will impose in response.</w:t>
      </w:r>
    </w:p>
    <w:p>
      <w:pPr>
        <w:spacing w:after="0" w:line="2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response to the pandemic, we continue to prioritize taking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distancing programs and requiring use of certain personal protective equipment at our call centers in Mexico and Guatemala. As of September 30, 2022, all of our facilities are open and operating with adjustments to ensure compliance with social distancing and facial covering recommendations and requirements established by state and local regulations.</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Although certain measures that restrict the normal course of operations of businesses and consumers were still in place for the three and nine months ended September 30, 2022, such measures did not have a material adverse effect on the Company’s financial condition, results of operations and cash flows for the three and nine months ended September 30, 2022. Notwithstanding the foregoing,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inflation (including changes in wages) and governmental efforts to restrain inflation, interest rate levels and foreign exchange volatility, all of which remain uncertain and cannot be predicted at this time along with any potential material adverse effect on its financial condition, results of operations and cash flows.</w:t>
      </w:r>
    </w:p>
    <w:p>
      <w:pPr>
        <w:sectPr>
          <w:pgSz w:w="11900" w:h="16838" w:orient="portrait"/>
          <w:cols w:equalWidth="0" w:num="1">
            <w:col w:w="11240"/>
          </w:cols>
          <w:pgMar w:left="320" w:top="125" w:right="3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Acquisition of La Nacional and LAN Holdings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March 16, 2022, the Company entered into a definitive purchase agreement to acquire Envios de Valores La Nacional Corp. (“La Nacional”) and LAN Holdings, Corp. (“LAN Holdings”), which either directly or indirectly operate as money remittance companies in the United States, Canada and certain countries in Europe. On November 1, 2022, the Company entered into an Amended and Restated Stock Purchase Agreement to allow the parties to close on the acquisition of La Nacional effective November 1, 2022 and to close on the acquisition of LAN Holdings at a later date following receipt of pending regulatory approvals. See Note 16 in Item 1 Financial Statements for additional information regarding the closing of the acquisition of La Nacional on November 1, 2022. The acquisition of LAN Holdings is expected to close late in the fourth quarter of 2022 or early 2023. The Company expects the integration of La Nacional and LAN Holdings to be completed in the four quarters following the closing of the respective transactions. Once La Nacional and LAN Holdings are fully integrated, the Company continues to expect the combined entities to contribute approximately $70.0 million to $80.0 million a year in revenues with an Adjusted EBITDA margin in the range of 9% to 11%. A quantitative reconciliation of projected Adjusted EBITDA margin to the most comparable GAAP measure is not available without unreasonable efforts because of the inherent difficulty in forecasting and quantifying the amounts necessary under GAAP guidance for operating or other adjusted items including, without limitation, integration costs and expenses, amortization of intangible assets and depreciation, which may be significant and difficult to project with a reasonable degree of accuracy, as the allocation of the purchase price to intangible assets and to property and equipment has not yet been performed, tax effects of certain adjustments and other items related to the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97" w:lineRule="exact"/>
        <w:rPr>
          <w:sz w:val="20"/>
          <w:szCs w:val="20"/>
          <w:color w:val="auto"/>
        </w:rPr>
      </w:pPr>
    </w:p>
    <w:p>
      <w:pPr>
        <w:ind w:left="900" w:right="120" w:hanging="244"/>
        <w:spacing w:after="0" w:line="277"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successfully execute, manage, integrate and obtain the anticipated financial benefits of key acquisitions and mergers, including the acquisition of La Nacional and LAN Holdings;</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factors such as inflation, the level of economic activity and labor market conditions, as well as rising interest rates;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health conditions, including the COVID-19 pandemic, responses thereto and the economic and market effects thereof;</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900" w:right="380" w:hanging="244"/>
        <w:spacing w:after="0" w:line="277"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favorable banking and agent relationships necessary to conduct our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including by introducing digital platforms;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data centers and phone apps;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confidence in our brand and in consumer money transfers generally;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regulatory requirements;</w:t>
      </w:r>
    </w:p>
    <w:p>
      <w:pPr>
        <w:spacing w:after="0" w:line="252" w:lineRule="exact"/>
        <w:rPr>
          <w:rFonts w:ascii="Arial" w:cs="Arial" w:eastAsia="Arial" w:hAnsi="Arial"/>
          <w:sz w:val="18"/>
          <w:szCs w:val="18"/>
          <w:color w:val="auto"/>
        </w:rPr>
      </w:pPr>
    </w:p>
    <w:p>
      <w:pPr>
        <w:ind w:left="900" w:right="20" w:hanging="244"/>
        <w:spacing w:after="0" w:line="27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political factors, political stability, tariffs, border taxes or restrictions on remittances or transfers of money out of the United States and Canada;</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restrictions and volatility in countries in which we operate or plan to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fraud and other risks relating to the authenticity of customers’ orders;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and retain key personnel.</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Worldwide political and economic conditions continue to exhibit instability, as evidenced by high unemployment rates in key Latin American markets, restricted lending activity, higher inflation and foreign currencies volatility and low consumer confidence, some of which reflect the impact of the COVID-19 pandemic, supply chain disruptions, among other economic and market factors. Specifically, continued political and economic unrest in Mexico, Guatemala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19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and future regulatory requirements will continue to result in changes to certain of our business practices and may result in increased costs.</w:t>
      </w:r>
    </w:p>
    <w:p>
      <w:pPr>
        <w:spacing w:after="0" w:line="222"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Operating Officer, whose responsibility is to manage regulatory affairs and licensing.</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technology and brand recognition.</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w:t>
      </w: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11" w:lineRule="exact"/>
        <w:rPr>
          <w:sz w:val="20"/>
          <w:szCs w:val="20"/>
          <w:color w:val="auto"/>
        </w:rPr>
      </w:pPr>
    </w:p>
    <w:p>
      <w:pPr>
        <w:ind w:left="500" w:right="20" w:hanging="249"/>
        <w:spacing w:after="0" w:line="277"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480" w:hanging="229"/>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500" w:hanging="249"/>
        <w:spacing w:after="0" w:line="301"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exemption from compliance with any new requirements adopted by the Public Company Accounting Oversight Board requiring mandatory audit firm rotation or communication of Critical Audit Matters (“CAMs”) in the auditor’s report. A CAM is defined as any matter arising from the audit of the financial statements that was communicated or required to be communicated to the audit committee and that (1) relates to accounts or disclosures that are material to the financial statements; and (2) involves especially challenging, subjective, or complex auditor judgment.</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2022, the market value of our common stock that is held by non-affiliates approximated $674.0 million. The Company will no longer be considered an emerging growth company effective December 31, 2022, as we reached the fifth anniversary of becoming a publicly-traded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Service charges primarily consist of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and Canada, is focused on supporting and growing our sending agent network. Share-based compensation is primarily recognized as an expense on a straight-line</w:t>
      </w:r>
    </w:p>
    <w:p>
      <w:pPr>
        <w:sectPr>
          <w:pgSz w:w="11900" w:h="16838" w:orient="portrait"/>
          <w:cols w:equalWidth="0" w:num="1">
            <w:col w:w="11240"/>
          </w:cols>
          <w:pgMar w:left="320" w:top="125" w:right="339" w:bottom="1440" w:gutter="0" w:footer="0" w:header="0"/>
        </w:sectPr>
      </w:pPr>
    </w:p>
    <w:p>
      <w:pPr>
        <w:spacing w:after="0" w:line="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basis over the requisite service period; unrecognized compensation expense related to stock options, restricted stock units (“RSUs”), restricted stock awards (“RSAs”) and performance stock units (“PSUs”) of approximately $12.0 million is expected to be recognized over a weighted-average period of 1.79 years.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shipping, supplies and other expenses associated with serving and increasing our network of agents.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 and developed technology.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primarily of interest associated with our debt, which consists of a term loan facility and a revolving credit facility. The effective interest rates for the nine months ended September 30, 2022 for the term loan facility and revolving credit facility, were 4.18% and 0.80%, respectively.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37 Company-operated stores throughout the United States and Canada. This is based on the objectives of the business and how our chief operating decision maker, the CEO and President, monitors operating performance and allocates resources.</w:t>
      </w: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5"/>
          </w:tcPr>
          <w:p>
            <w:pPr>
              <w:ind w:left="80"/>
              <w:spacing w:after="0"/>
              <w:rPr>
                <w:sz w:val="20"/>
                <w:szCs w:val="20"/>
                <w:color w:val="auto"/>
              </w:rPr>
            </w:pPr>
            <w:r>
              <w:rPr>
                <w:rFonts w:ascii="Arial" w:cs="Arial" w:eastAsia="Arial" w:hAnsi="Arial"/>
                <w:sz w:val="18"/>
                <w:szCs w:val="18"/>
                <w:color w:val="auto"/>
              </w:rPr>
              <w:t>Three Months Ended September 30,</w:t>
            </w:r>
          </w:p>
        </w:tc>
        <w:tc>
          <w:tcPr>
            <w:tcW w:w="200" w:type="dxa"/>
            <w:vAlign w:val="bottom"/>
          </w:tcPr>
          <w:p>
            <w:pPr>
              <w:spacing w:after="0"/>
              <w:rPr>
                <w:sz w:val="20"/>
                <w:szCs w:val="20"/>
                <w:color w:val="auto"/>
              </w:rPr>
            </w:pPr>
          </w:p>
        </w:tc>
        <w:tc>
          <w:tcPr>
            <w:tcW w:w="2900" w:type="dxa"/>
            <w:vAlign w:val="bottom"/>
            <w:gridSpan w:val="4"/>
          </w:tcPr>
          <w:p>
            <w:pPr>
              <w:jc w:val="right"/>
              <w:ind w:right="190"/>
              <w:spacing w:after="0"/>
              <w:rPr>
                <w:sz w:val="20"/>
                <w:szCs w:val="20"/>
                <w:color w:val="auto"/>
              </w:rPr>
            </w:pPr>
            <w:r>
              <w:rPr>
                <w:rFonts w:ascii="Arial" w:cs="Arial" w:eastAsia="Arial" w:hAnsi="Arial"/>
                <w:sz w:val="18"/>
                <w:szCs w:val="18"/>
                <w:color w:val="auto"/>
                <w:w w:val="92"/>
              </w:rPr>
              <w:t>Nine Months Ended September 30,</w:t>
            </w:r>
          </w:p>
        </w:tc>
      </w:tr>
      <w:tr>
        <w:trPr>
          <w:trHeight w:val="23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120,718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104,191</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336,340</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284,409</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45,347</w:t>
            </w:r>
          </w:p>
        </w:tc>
      </w:tr>
      <w:tr>
        <w:trPr>
          <w:trHeight w:val="237"/>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r>
      <w:tr>
        <w:trPr>
          <w:trHeight w:val="229"/>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332,031</w:t>
            </w: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93,658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262,717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222,654</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30,909</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22,549</w:t>
            </w:r>
          </w:p>
        </w:tc>
      </w:tr>
      <w:tr>
        <w:trPr>
          <w:trHeight w:val="237"/>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w:t>
            </w:r>
          </w:p>
        </w:tc>
      </w:tr>
      <w:tr>
        <w:trPr>
          <w:trHeight w:val="236"/>
        </w:trPr>
        <w:tc>
          <w:tcPr>
            <w:tcW w:w="4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331,304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283,153</w:t>
            </w:r>
          </w:p>
        </w:tc>
      </w:tr>
      <w:tr>
        <w:trPr>
          <w:trHeight w:val="257"/>
        </w:trPr>
        <w:tc>
          <w:tcPr>
            <w:tcW w:w="4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48,878</w:t>
            </w:r>
          </w:p>
        </w:tc>
      </w:tr>
      <w:tr>
        <w:trPr>
          <w:trHeight w:val="270"/>
        </w:trPr>
        <w:tc>
          <w:tcPr>
            <w:tcW w:w="4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7"/>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w:t>
            </w:r>
          </w:p>
        </w:tc>
      </w:tr>
      <w:tr>
        <w:trPr>
          <w:trHeight w:val="257"/>
        </w:trPr>
        <w:tc>
          <w:tcPr>
            <w:tcW w:w="4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2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45,316</w:t>
            </w:r>
          </w:p>
        </w:tc>
      </w:tr>
      <w:tr>
        <w:trPr>
          <w:trHeight w:val="270"/>
        </w:trPr>
        <w:tc>
          <w:tcPr>
            <w:tcW w:w="4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11,605</w:t>
            </w:r>
          </w:p>
        </w:tc>
      </w:tr>
      <w:tr>
        <w:trPr>
          <w:trHeight w:val="257"/>
        </w:trPr>
        <w:tc>
          <w:tcPr>
            <w:tcW w:w="4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33,711</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0.86</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r>
      <w:tr>
        <w:trPr>
          <w:trHeight w:val="23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2022</w:t>
            </w:r>
          </w:p>
        </w:tc>
        <w:tc>
          <w:tcPr>
            <w:tcW w:w="13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2021</w:t>
            </w:r>
          </w:p>
        </w:tc>
        <w:tc>
          <w:tcPr>
            <w:tcW w:w="12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120,718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104,191</w:t>
            </w:r>
          </w:p>
        </w:tc>
        <w:tc>
          <w:tcPr>
            <w:tcW w:w="126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18,851</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1 %</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r>
      <w:tr>
        <w:trPr>
          <w:trHeight w:val="25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140,767</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Wire transfer and money order fees, net of $120.7 million for the three months ended September 30, 2022 increased by $16.5 million, or 15.9%, from $104.2 million for the three months ended September 30, 2021. The increase was primarily due to a 16.0% increase in transaction volume in the third quarter of 2022 compared to the third quarter of 2021, largely due to the continued growth in our agent network, which increased by 8.8% from September 2021 to September 2022.</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foreign exchange gain, net of $18.9 million for the three months ended September 30, 2022 increased by $3.3 million, or 20.5%, from $15.6 million for the three months ended September 30, 2021. This increase was primarily due to higher transaction volume achieved by growth in our agent network and a higher average amount sent by consumers, as well as increased foreign exchange volatility in the Mexican peso and Guatemalan quetzal during the quarter ended September 30,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2022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Revenues</w:t>
            </w: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93,658</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67 %</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13,853</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10 %</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10,859</w:t>
            </w:r>
          </w:p>
        </w:tc>
        <w:tc>
          <w:tcPr>
            <w:tcW w:w="12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Other selling, general and administrative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2 %</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2 %</w:t>
            </w:r>
          </w:p>
        </w:tc>
      </w:tr>
      <w:tr>
        <w:trPr>
          <w:trHeight w:val="255"/>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120,021</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86 %</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$93.7 million for the three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$81.4 million for the three months ended September 30, 2021. The increase of $12.3 million, or 15.0%, was primarily due to the increase in transaction volume described above.</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Salaries and benefits </w:t>
      </w:r>
      <w:r>
        <w:rPr>
          <w:rFonts w:ascii="Arial" w:cs="Arial" w:eastAsia="Arial" w:hAnsi="Arial"/>
          <w:sz w:val="17"/>
          <w:szCs w:val="17"/>
          <w:color w:val="auto"/>
        </w:rPr>
        <w:t>— Salaries and benefits of $13.9 million for the three months ended September 30, 2022 increased by $3.0 million, or 27.6%,</w:t>
      </w:r>
      <w:r>
        <w:rPr>
          <w:rFonts w:ascii="Arial" w:cs="Arial" w:eastAsia="Arial" w:hAnsi="Arial"/>
          <w:sz w:val="17"/>
          <w:szCs w:val="17"/>
          <w:i w:val="1"/>
          <w:iCs w:val="1"/>
          <w:color w:val="auto"/>
        </w:rPr>
        <w:t xml:space="preserve"> </w:t>
      </w:r>
      <w:r>
        <w:rPr>
          <w:rFonts w:ascii="Arial" w:cs="Arial" w:eastAsia="Arial" w:hAnsi="Arial"/>
          <w:sz w:val="17"/>
          <w:szCs w:val="17"/>
          <w:color w:val="auto"/>
        </w:rPr>
        <w:t>from $10.9 million for the three months ended September 30, 2021. The increase is primarily due to $1.4 million spent in talent acquisition and retention, as well as increased wages and bonuses to recognize performance and to support the continued growth of our business, a $1.5 million increase in share-based compensation as a result of new awards granted in the three months ended September 30, 2022 and updated probability of vesting of performance stock units, and a $0.1 million increase in commission expense for our sales representatives.</w:t>
      </w:r>
    </w:p>
    <w:p>
      <w:pPr>
        <w:spacing w:after="0" w:line="2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$10.2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increased by $0.2 million, or 2.7%, from $10.0 million for the three months ended September 30, 2021.</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the result of:</w:t>
      </w:r>
    </w:p>
    <w:p>
      <w:pPr>
        <w:spacing w:after="0" w:line="252" w:lineRule="exact"/>
        <w:rPr>
          <w:sz w:val="20"/>
          <w:szCs w:val="20"/>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$0.6 million - higher audit related and professional fees to support our internal audit and compliance functions;</w:t>
      </w:r>
    </w:p>
    <w:p>
      <w:pPr>
        <w:spacing w:after="0" w:line="23"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$0.5 million - higher travel costs, primarily of our sales force, to support our business growth and expansion;</w:t>
      </w:r>
    </w:p>
    <w:p>
      <w:pPr>
        <w:spacing w:after="0" w:line="9" w:lineRule="exact"/>
        <w:rPr>
          <w:rFonts w:ascii="Arial" w:cs="Arial" w:eastAsia="Arial" w:hAnsi="Arial"/>
          <w:sz w:val="18"/>
          <w:szCs w:val="18"/>
          <w:color w:val="auto"/>
        </w:rPr>
      </w:pPr>
    </w:p>
    <w:p>
      <w:pPr>
        <w:ind w:left="740" w:hanging="246"/>
        <w:spacing w:after="0" w:line="250"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$0.3 million - higher facilities and rent expenses for scheduled maintenance and contracted lease rate increases to support our business growth; and</w:t>
      </w: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$0.3 million - higher IT related expenses incurred to sustain our business expansion and to improve our technology environment.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252" w:lineRule="exact"/>
        <w:rPr>
          <w:sz w:val="20"/>
          <w:szCs w:val="20"/>
          <w:color w:val="auto"/>
        </w:rPr>
      </w:pPr>
    </w:p>
    <w:p>
      <w:pPr>
        <w:ind w:left="740" w:hanging="246"/>
        <w:spacing w:after="0" w:line="258" w:lineRule="auto"/>
        <w:tabs>
          <w:tab w:leader="none" w:pos="735"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$0.9 million - lower loss on disposal of assets, as the three months ended September 30, 2021 included a $1.0 million impairment charge that did not reoccur in the three months ended September 30, 2022;</w:t>
      </w:r>
    </w:p>
    <w:p>
      <w:pPr>
        <w:spacing w:after="0" w:line="1" w:lineRule="exact"/>
        <w:rPr>
          <w:rFonts w:ascii="Arial" w:cs="Arial" w:eastAsia="Arial" w:hAnsi="Arial"/>
          <w:sz w:val="18"/>
          <w:szCs w:val="18"/>
          <w:i w:val="1"/>
          <w:iCs w:val="1"/>
          <w:color w:val="auto"/>
        </w:rPr>
      </w:pPr>
    </w:p>
    <w:p>
      <w:pPr>
        <w:ind w:left="740" w:hanging="246"/>
        <w:spacing w:after="0" w:line="250"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$0.4 million - related to a decrease in the valuation allowance on deposits frozen at certain closed financial institutions in Mexico. The provisions amounted to $1.6 million and $2.0 million in September 2022 and 2021, respectively; and</w:t>
      </w:r>
    </w:p>
    <w:p>
      <w:pPr>
        <w:ind w:left="740" w:hanging="246"/>
        <w:spacing w:after="0" w:line="260"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 million - in lower advertising and promotion expenses, primarily as a result of higher co-branding investment by some of our paying agents in the third quarter of 2022.</w:t>
      </w: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 Depreciation and amortization of $2.3 million for the three months ended September 30, 2022 decreased by $0.1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$2.4 million for the three months ended September 30, 2021. The variance is the result of a decrease of approximately $0.3 million in amortization related to our trade name, developed technology and agent relationships during the third quarter of 2022, as these intangibles are being amortized on an accelerated basis, which declines over time, which was partially offset by an increase of $0.2 million in depreciation associated primarily with additional computer equipment acquired to support our growing business and sending agent network.</w:t>
      </w:r>
    </w:p>
    <w:p>
      <w:pPr>
        <w:spacing w:after="0" w:line="2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$1.5 million for the three months ended September 30, 2022 increased by $0.5 million, or 51.5%, from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2021. The increase was primarily due to higher market interest rates and higher drawings under our revolving credit facility.</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$2.7 million for the three months ended September 30, 2022, which represents a decrease of $0.9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an income tax provision of $3.6 million for the three months ended September 30, 2021. The decrease in the income tax provision was mainly attributable to a tax windfall from deductible stock-compensation as a result of stock option exercises, partially offset by higher taxable income resulting from higher revenues from our growth.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reported Net Income of $16.6 million for the three months ended September 30, 2022 compared to Net Income of $11.5 million for the three months ended September 30, 2021, which resulted in an increase of $5.1 million, or 44.5%, due to the same factors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share-based compensation costs can be subject to volatility from changes in the market price per share of our common stock or variations in the value and number of shares granted, and amortization of intangible assets is subject to business acquisition activities, which vary from period to period.</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amounts necessary to service interest or principal payments on our debt;</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share-based compensation costs, litigation settlements and other items set forth in the table below, as these charges and expenses are not considered a part of our core business operations and are not an indicator of ongoing, future company performance.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Net Income for the three months ended September 30, 2022 was $20.7 million, representing an increase of $5.0 million, or 32.3%, from Adjusted Net Income of $15.7 million for the three months ended September 30, 2021. The increase in Adjusted Net Income was primarily due to the increase in Net Income discussed above.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1"/>
              </w:rPr>
              <w:t>Three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11,507</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Loss on bank closure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Other charges and expenses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 (e)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36"/>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 (f)</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15,669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70"/>
        </w:trPr>
        <w:tc>
          <w:tcPr>
            <w:tcW w:w="6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37,390,632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38,647,931</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38,425,868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39,336,051</w:t>
            </w:r>
          </w:p>
        </w:tc>
      </w:tr>
    </w:tbl>
    <w:p>
      <w:pPr>
        <w:spacing w:after="0" w:line="323" w:lineRule="exact"/>
        <w:rPr>
          <w:sz w:val="20"/>
          <w:szCs w:val="20"/>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losses related to the closure of a financial institution in Mexico during 2021.</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primarily professional and legal fees related to business acquisition transactions.</w:t>
      </w:r>
    </w:p>
    <w:p>
      <w:pPr>
        <w:spacing w:after="0" w:line="9" w:lineRule="exact"/>
        <w:rPr>
          <w:rFonts w:ascii="Arial" w:cs="Arial" w:eastAsia="Arial" w:hAnsi="Arial"/>
          <w:sz w:val="18"/>
          <w:szCs w:val="18"/>
          <w:color w:val="auto"/>
        </w:rPr>
      </w:pPr>
    </w:p>
    <w:p>
      <w:pPr>
        <w:ind w:left="420" w:right="20" w:hanging="331"/>
        <w:spacing w:after="0" w:line="250" w:lineRule="auto"/>
        <w:tabs>
          <w:tab w:leader="none" w:pos="4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including a write-off of software development expenditures in an amount of $1.0 million during the three months ended September 30, 2021 (none in 2022) and foreign currency (gains) losses.</w:t>
      </w: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amortization of intangible assets that resulted from business acquisition transactions.</w:t>
      </w:r>
    </w:p>
    <w:p>
      <w:pPr>
        <w:spacing w:after="0" w:line="9" w:lineRule="exact"/>
        <w:rPr>
          <w:rFonts w:ascii="Arial" w:cs="Arial" w:eastAsia="Arial" w:hAnsi="Arial"/>
          <w:sz w:val="18"/>
          <w:szCs w:val="18"/>
          <w:color w:val="auto"/>
        </w:rPr>
      </w:pPr>
    </w:p>
    <w:p>
      <w:pPr>
        <w:ind w:left="420" w:hanging="331"/>
        <w:spacing w:after="0" w:line="260" w:lineRule="auto"/>
        <w:tabs>
          <w:tab w:leader="none" w:pos="4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Adjusted Earnings per Share - Basic for the three months ended September 30, 2022 was $0.55, representing an increase of $0.14, or 34.1%, compared to $0.41 for the three months ended September 30, 2021.</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Earnings per Share - Diluted for the three months ended September 30, 2022 was $0.54, representing an increase of $0.14, or 35.0%, compared to $0.40 for the three months ended September 30, 2021.</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Three Months Ended September 30,</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spacing w:after="0"/>
              <w:rPr>
                <w:sz w:val="20"/>
                <w:szCs w:val="20"/>
                <w:color w:val="auto"/>
              </w:rPr>
            </w:pPr>
          </w:p>
        </w:tc>
      </w:tr>
      <w:tr>
        <w:trPr>
          <w:trHeight w:val="229"/>
        </w:trPr>
        <w:tc>
          <w:tcPr>
            <w:tcW w:w="4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Basic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5"/>
              </w:rPr>
              <w:t>0.44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1"/>
              </w:rPr>
              <w:t>0.43</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0.29</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Arial" w:cs="Arial" w:eastAsia="Arial" w:hAnsi="Arial"/>
                <w:sz w:val="18"/>
                <w:szCs w:val="18"/>
                <w:color w:val="auto"/>
                <w:w w:val="85"/>
              </w:rPr>
              <w:t>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left="730"/>
              <w:spacing w:after="0"/>
              <w:rPr>
                <w:sz w:val="20"/>
                <w:szCs w:val="20"/>
                <w:color w:val="auto"/>
              </w:rPr>
            </w:pPr>
            <w:r>
              <w:rPr>
                <w:rFonts w:ascii="Arial" w:cs="Arial" w:eastAsia="Arial" w:hAnsi="Arial"/>
                <w:sz w:val="18"/>
                <w:szCs w:val="18"/>
                <w:color w:val="auto"/>
                <w:w w:val="91"/>
              </w:rPr>
              <w:t>0.07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bank closure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5"/>
              </w:rPr>
              <w:t>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1"/>
              </w:rPr>
              <w:t>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left="730"/>
              <w:spacing w:after="0"/>
              <w:rPr>
                <w:sz w:val="20"/>
                <w:szCs w:val="20"/>
                <w:color w:val="auto"/>
              </w:rPr>
            </w:pPr>
            <w:r>
              <w:rPr>
                <w:rFonts w:ascii="Arial" w:cs="Arial" w:eastAsia="Arial" w:hAnsi="Arial"/>
                <w:sz w:val="18"/>
                <w:szCs w:val="18"/>
                <w:color w:val="auto"/>
                <w:w w:val="91"/>
              </w:rPr>
              <w:t>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5"/>
              </w:rPr>
              <w:t>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1"/>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Arial" w:cs="Arial" w:eastAsia="Arial" w:hAnsi="Arial"/>
                <w:sz w:val="18"/>
                <w:szCs w:val="18"/>
                <w:color w:val="auto"/>
                <w:w w:val="85"/>
              </w:rPr>
              <w:t>0.03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left="730"/>
              <w:spacing w:after="0"/>
              <w:rPr>
                <w:sz w:val="20"/>
                <w:szCs w:val="20"/>
                <w:color w:val="auto"/>
              </w:rPr>
            </w:pPr>
            <w:r>
              <w:rPr>
                <w:rFonts w:ascii="Arial" w:cs="Arial" w:eastAsia="Arial" w:hAnsi="Arial"/>
                <w:sz w:val="18"/>
                <w:szCs w:val="18"/>
                <w:color w:val="auto"/>
                <w:w w:val="91"/>
              </w:rPr>
              <w:t>0.03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7"/>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3"/>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3"/>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5"/>
              </w:rPr>
              <w:t>0.55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1"/>
              </w:rPr>
              <w:t>0.54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0.40</w:t>
            </w:r>
          </w:p>
        </w:tc>
      </w:tr>
      <w:tr>
        <w:trPr>
          <w:trHeight w:val="21"/>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for the three months ended September 30, 2022 was $27.8 million, representing an increase of $4.9 million, or 21.5%, from $22.9 million for the three months ended September 30, 2021. The increase in Adjusted EBITDA was primarily due to the increase in Net Income discussed above and the higher net effect of the adjusting items detailed in the table below.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2"/>
              </w:rPr>
              <w:t>Three Months Ended September 30,</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11,507</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3,629</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18,466</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Loss on bank closure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charges and expenses (d)</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22,878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losses related to the closure of a financial institution in Mexico during 2021.</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primarily professional and legal fees related to business acquisition transactions.</w:t>
      </w:r>
    </w:p>
    <w:p>
      <w:pPr>
        <w:spacing w:after="0" w:line="9" w:lineRule="exact"/>
        <w:rPr>
          <w:rFonts w:ascii="Arial" w:cs="Arial" w:eastAsia="Arial" w:hAnsi="Arial"/>
          <w:sz w:val="18"/>
          <w:szCs w:val="18"/>
          <w:color w:val="auto"/>
        </w:rPr>
      </w:pPr>
    </w:p>
    <w:p>
      <w:pPr>
        <w:ind w:left="420" w:right="80" w:hanging="331"/>
        <w:spacing w:after="0" w:line="260" w:lineRule="auto"/>
        <w:tabs>
          <w:tab w:leader="none" w:pos="4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including a write-off of software development expenditures in an amount of $1.0 million during the three months ended September 30, 2021 (none in 2022) and foreign currency (gains) losses.</w:t>
      </w: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r>
      <w:tr>
        <w:trPr>
          <w:trHeight w:val="237"/>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2022</w:t>
            </w:r>
          </w:p>
        </w:tc>
        <w:tc>
          <w:tcPr>
            <w:tcW w:w="13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September 30, 2021</w:t>
            </w:r>
          </w:p>
        </w:tc>
        <w:tc>
          <w:tcPr>
            <w:tcW w:w="12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336,340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284,409</w:t>
            </w:r>
          </w:p>
        </w:tc>
        <w:tc>
          <w:tcPr>
            <w:tcW w:w="126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52,719</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6"/>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1 %</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r>
      <w:tr>
        <w:trPr>
          <w:trHeight w:val="25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392,368</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332,031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Wire transfer and money order fees, net of $336.3 million for the nine months ended September 30, 2022 increased by $51.9 million, or 18.3%, from $284.4 million for the nine months ended September 30, 2021. The increase was primarily due to a 17.8% increase in transaction volume in the nine months ended September 30, 2022 compared to the nine months ended September 30, 2021, largely due to the continued growth in our agent network, which increased by 8.8% from September 2021 to September 2022.</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foreign exchange gain, net of $52.7 million for the nine months ended September 30, 2022 increased by $7.4 million, or 16.3%, from $45.3 million for the nine months ended September 30, 2021. This increase was primarily due to higher transaction volume achieved by growth in our agent network and a higher average amount sent by consumers, as well as increased foreign exchange volatility in the Mexican peso and Guatemalan quetzal during the nine months ended September 30,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Nine Months Ended</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3"/>
              </w:rPr>
              <w:t>Nine Months Ended</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 of</w:t>
            </w: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1"/>
              </w:rPr>
              <w:t>September 30, 2022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September 30, 2021</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Revenues</w:t>
            </w: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262,717</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67 %</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222,654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36,911</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9 %</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30,909</w:t>
            </w: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Other selling, general and administrative expenses</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24,964</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7"/>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3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2 %</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2 %</w:t>
            </w:r>
          </w:p>
        </w:tc>
      </w:tr>
      <w:tr>
        <w:trPr>
          <w:trHeight w:val="254"/>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331,304</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84 %</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$262.7 million for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$222.7 million for the nine months ended September 30, 2021. The increase of $40.0 million, or 18.0%, was primarily due to the increase in transaction volume described above.</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of $36.9 million for the nine months ended September 30, 2022 increased by $6.0 million, or 19.4%,</w:t>
      </w:r>
      <w:r>
        <w:rPr>
          <w:rFonts w:ascii="Arial" w:cs="Arial" w:eastAsia="Arial" w:hAnsi="Arial"/>
          <w:sz w:val="18"/>
          <w:szCs w:val="18"/>
          <w:i w:val="1"/>
          <w:iCs w:val="1"/>
          <w:color w:val="auto"/>
        </w:rPr>
        <w:t xml:space="preserve"> </w:t>
      </w:r>
      <w:r>
        <w:rPr>
          <w:rFonts w:ascii="Arial" w:cs="Arial" w:eastAsia="Arial" w:hAnsi="Arial"/>
          <w:sz w:val="18"/>
          <w:szCs w:val="18"/>
          <w:color w:val="auto"/>
        </w:rPr>
        <w:t>from $30.9 million for the nine months ended September 30, 2021. The increase is primarily due to $4.1 million spent in talent acquisition and retention, as well as increased wages and bonuses to recognize performance and to support the continued growth of our business and a $2.2 million increase in share-based compensation as a result of new awards granted throughout 2022 and updated probability of vesting of performance stock units, offset by a $0.3 million decrease in commission expense for our sales representatives.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$25.0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increased by $2.5 million, or 10.7%, from $22.5 million for the nine months ended September 30, 2021.</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the result of:</w:t>
      </w:r>
    </w:p>
    <w:p>
      <w:pPr>
        <w:spacing w:after="0" w:line="252" w:lineRule="exact"/>
        <w:rPr>
          <w:sz w:val="20"/>
          <w:szCs w:val="20"/>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 million - higher IT related expenses incurred to sustain our business expansion and to improve our technology environment;</w:t>
      </w:r>
    </w:p>
    <w:p>
      <w:pPr>
        <w:spacing w:after="0" w:line="23" w:lineRule="exact"/>
        <w:rPr>
          <w:rFonts w:ascii="Arial" w:cs="Arial" w:eastAsia="Arial" w:hAnsi="Arial"/>
          <w:sz w:val="18"/>
          <w:szCs w:val="18"/>
          <w:color w:val="auto"/>
        </w:rPr>
      </w:pPr>
    </w:p>
    <w:p>
      <w:pPr>
        <w:jc w:val="both"/>
        <w:ind w:left="740" w:hanging="246"/>
        <w:spacing w:after="0" w:line="255"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 million - increase in provision for credit losses due to higher net write-offs of accounts receivable during the nine months ended September 30, 2022 compared to the same period in 2021, primarily as a result of sending agents that were not able to pay in accordance with the original terms and are, accordingly, subject to our normal collection procedures;</w:t>
      </w:r>
    </w:p>
    <w:p>
      <w:pPr>
        <w:sectPr>
          <w:pgSz w:w="11900" w:h="16838" w:orient="portrait"/>
          <w:cols w:equalWidth="0" w:num="1">
            <w:col w:w="11240"/>
          </w:cols>
          <w:pgMar w:left="320" w:top="125" w:right="339" w:bottom="1440" w:gutter="0" w:footer="0" w:header="0"/>
        </w:sectPr>
      </w:pPr>
    </w:p>
    <w:p>
      <w:pPr>
        <w:spacing w:after="0" w:line="2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$0.9 million - higher travel costs, primarily of our sales force, to support or business growth and expansion;</w:t>
      </w:r>
    </w:p>
    <w:p>
      <w:pPr>
        <w:spacing w:after="0" w:line="23"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$0.7 million - higher audit related and professional fees to support our internal audit and compliance functions;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$0.6 million - higher facilities and rent expenses for scheduled maintenance and contracted lease rate increases to support our business growth;</w:t>
      </w:r>
    </w:p>
    <w:p>
      <w:pPr>
        <w:spacing w:after="0" w:line="32" w:lineRule="exact"/>
        <w:rPr>
          <w:rFonts w:ascii="Arial" w:cs="Arial" w:eastAsia="Arial" w:hAnsi="Arial"/>
          <w:sz w:val="16"/>
          <w:szCs w:val="16"/>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$0.5 million - transaction costs associated with business acquisitions;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 million - higher shipping costs due to deployment of equipment for new and existing agents.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252" w:lineRule="exact"/>
        <w:rPr>
          <w:sz w:val="20"/>
          <w:szCs w:val="20"/>
          <w:color w:val="auto"/>
        </w:rPr>
      </w:pPr>
    </w:p>
    <w:p>
      <w:pPr>
        <w:ind w:left="740" w:hanging="246"/>
        <w:spacing w:after="0" w:line="258" w:lineRule="auto"/>
        <w:tabs>
          <w:tab w:leader="none" w:pos="735"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$0.9 million - in lower advertising and promotion expenses, primarily as a result of higher co-branding investment by some of our paying agents during 2022;</w:t>
      </w:r>
    </w:p>
    <w:p>
      <w:pPr>
        <w:spacing w:after="0" w:line="1" w:lineRule="exact"/>
        <w:rPr>
          <w:rFonts w:ascii="Arial" w:cs="Arial" w:eastAsia="Arial" w:hAnsi="Arial"/>
          <w:sz w:val="18"/>
          <w:szCs w:val="18"/>
          <w:i w:val="1"/>
          <w:iCs w:val="1"/>
          <w:color w:val="auto"/>
        </w:rPr>
      </w:pPr>
    </w:p>
    <w:p>
      <w:pPr>
        <w:ind w:left="740" w:hanging="246"/>
        <w:spacing w:after="0" w:line="250"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$0.7 million - lower loss on disposal of assets, as the nine months ended September 30, 2021 included a $1.0 million impairment charge that did not reoccur in the nine months ended September 30, 2022;</w:t>
      </w: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$0.8 million - refund of state business and occupancy (“B&amp;O”) tax for the state of Washington; and</w:t>
      </w:r>
    </w:p>
    <w:p>
      <w:pPr>
        <w:spacing w:after="0" w:line="9" w:lineRule="exact"/>
        <w:rPr>
          <w:rFonts w:ascii="Arial" w:cs="Arial" w:eastAsia="Arial" w:hAnsi="Arial"/>
          <w:sz w:val="18"/>
          <w:szCs w:val="18"/>
          <w:color w:val="auto"/>
        </w:rPr>
      </w:pPr>
    </w:p>
    <w:p>
      <w:pPr>
        <w:ind w:left="740" w:hanging="246"/>
        <w:spacing w:after="0" w:line="260"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$0.4 million - related to an increase in the valuation allowance on deposits frozen at certain closed financial institutions in Mexico. The provisions amounted to $1.6 million and $2.0 million in September 2022 and 2021, respectively.</w:t>
      </w: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 Depreciation and amortization of $6.7 million for the nine months ended September 30, 2022 decreased by $0.3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$7.0 million for the nine months ended September 30, 2021. This decrease is mainly due to approximately $0.9 million less amortization related to our trade name, developed technology and agent relationships during the nine months ended September 30, 2022, as these intangibles are being amortized on an accelerated basis, which declines over time. This decrease was partially offset by an increase in depreciation associated primarily with additional computer equipment acquired to support our growing business and sending agent network.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 Interest expense of $3.5 million for the nine months ended September 30, 2022 remained the same as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as the savings due to a lower benchmark rate negotiated in 2021 were offset by higher market interest rates prevailing in 2022.</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$13.3 million for the nine months ended September 30, 2022, which represents an increase of $1.7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an income tax provision of $11.6 million for the nine months ended September 30, 2021. The increase in the income tax provision was mainly attributable to higher taxable income resulting from higher revenues from our growth offset by a tax windfall from deductible stock-compensation as a result of stock option exercises.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$44.3 million for the nine months ended September 30, 2022 compared to Net Income of $33.7 million for the nine months ended September 30, 2021, which resulted in an increase of $10.6 million, or 31.3%,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Net Income (previously defined and used as described above) for the nine months ended September 30, 2022 was $52.4 million, representing an increase of $10.8 million, or 25.9%, from Adjusted Net Income of $41.6 million for the nine months ended September 30, 2021. The increase in Adjusted Net Income was primarily due to the increase in Net Income discussed above.</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3"/>
              </w:rPr>
              <w:t>Nine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33,711</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Loss on bank closure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Other charges and expenses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 (e)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r>
      <w:tr>
        <w:trPr>
          <w:trHeight w:val="236"/>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 (f)</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41,579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6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37,999,709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38,441,767</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38,907,283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39,071,622</w:t>
            </w:r>
          </w:p>
        </w:tc>
      </w:tr>
    </w:tbl>
    <w:p>
      <w:pPr>
        <w:spacing w:after="0" w:line="323" w:lineRule="exact"/>
        <w:rPr>
          <w:sz w:val="20"/>
          <w:szCs w:val="20"/>
          <w:color w:val="auto"/>
        </w:rPr>
      </w:pPr>
    </w:p>
    <w:p>
      <w:pPr>
        <w:ind w:left="420" w:hanging="331"/>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losses related to the closure of a financial institution in Mexico during 2021.</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primarily professional and legal fees related to business acquisition transactions.</w:t>
      </w:r>
    </w:p>
    <w:p>
      <w:pPr>
        <w:spacing w:after="0" w:line="9" w:lineRule="exact"/>
        <w:rPr>
          <w:rFonts w:ascii="Arial" w:cs="Arial" w:eastAsia="Arial" w:hAnsi="Arial"/>
          <w:sz w:val="18"/>
          <w:szCs w:val="18"/>
          <w:color w:val="auto"/>
        </w:rPr>
      </w:pPr>
    </w:p>
    <w:p>
      <w:pPr>
        <w:ind w:left="420" w:right="80" w:hanging="331"/>
        <w:spacing w:after="0" w:line="250" w:lineRule="auto"/>
        <w:tabs>
          <w:tab w:leader="none" w:pos="4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including a write-off of software development expenditures in an amount of $1.0 million during the nine months ended September 30, 2021 (none in 2022) and foreign currency (gains) losses.</w:t>
      </w:r>
    </w:p>
    <w:p>
      <w:pPr>
        <w:ind w:left="420" w:hanging="331"/>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amortization of intangible assets that resulted from business acquisition transactions.</w:t>
      </w:r>
    </w:p>
    <w:p>
      <w:pPr>
        <w:spacing w:after="0" w:line="9" w:lineRule="exact"/>
        <w:rPr>
          <w:rFonts w:ascii="Arial" w:cs="Arial" w:eastAsia="Arial" w:hAnsi="Arial"/>
          <w:sz w:val="18"/>
          <w:szCs w:val="18"/>
          <w:color w:val="auto"/>
        </w:rPr>
      </w:pPr>
    </w:p>
    <w:p>
      <w:pPr>
        <w:ind w:left="420" w:right="240" w:hanging="331"/>
        <w:spacing w:after="0" w:line="260" w:lineRule="auto"/>
        <w:tabs>
          <w:tab w:leader="none" w:pos="4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Earnings per Share - Basic for the nine months ended September 30, 2022 was $1.38, representing an increase of $0.30, or 27.8%, compared to $1.08 for the nine months ended September 30, 2021.</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Adjusted Earnings per Share - Diluted for the nine months ended September 30, 2022 was $1.35, representing an increase of $0.29, or 27.4%, compared to $1.06 for the nine months ended September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90"/>
              </w:rPr>
              <w:t>Nine Months Ended September 30,</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46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spacing w:after="0"/>
              <w:rPr>
                <w:sz w:val="20"/>
                <w:szCs w:val="20"/>
                <w:color w:val="auto"/>
              </w:rPr>
            </w:pPr>
          </w:p>
        </w:tc>
      </w:tr>
      <w:tr>
        <w:trPr>
          <w:trHeight w:val="230"/>
        </w:trPr>
        <w:tc>
          <w:tcPr>
            <w:tcW w:w="4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Basic</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Basic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5"/>
              </w:rPr>
              <w:t>1.16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1"/>
              </w:rPr>
              <w:t>1.14</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0.88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0.86</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Arial" w:cs="Arial" w:eastAsia="Arial" w:hAnsi="Arial"/>
                <w:sz w:val="18"/>
                <w:szCs w:val="18"/>
                <w:color w:val="auto"/>
                <w:w w:val="85"/>
              </w:rPr>
              <w:t>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10"/>
              <w:spacing w:after="0"/>
              <w:rPr>
                <w:sz w:val="20"/>
                <w:szCs w:val="20"/>
                <w:color w:val="auto"/>
              </w:rPr>
            </w:pPr>
            <w:r>
              <w:rPr>
                <w:rFonts w:ascii="Arial" w:cs="Arial" w:eastAsia="Arial" w:hAnsi="Arial"/>
                <w:sz w:val="18"/>
                <w:szCs w:val="18"/>
                <w:color w:val="auto"/>
                <w:w w:val="91"/>
              </w:rPr>
              <w:t>0.14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bank closure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5"/>
              </w:rPr>
              <w:t>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1"/>
              </w:rPr>
              <w:t>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10"/>
              <w:spacing w:after="0"/>
              <w:rPr>
                <w:sz w:val="20"/>
                <w:szCs w:val="20"/>
                <w:color w:val="auto"/>
              </w:rPr>
            </w:pPr>
            <w:r>
              <w:rPr>
                <w:rFonts w:ascii="Arial" w:cs="Arial" w:eastAsia="Arial" w:hAnsi="Arial"/>
                <w:sz w:val="18"/>
                <w:szCs w:val="18"/>
                <w:color w:val="auto"/>
                <w:w w:val="91"/>
              </w:rPr>
              <w:t>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5"/>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1"/>
              </w:rPr>
              <w:t>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Arial" w:cs="Arial" w:eastAsia="Arial" w:hAnsi="Arial"/>
                <w:sz w:val="18"/>
                <w:szCs w:val="18"/>
                <w:color w:val="auto"/>
                <w:w w:val="85"/>
              </w:rPr>
              <w:t>0.08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10"/>
              <w:spacing w:after="0"/>
              <w:rPr>
                <w:sz w:val="20"/>
                <w:szCs w:val="20"/>
                <w:color w:val="auto"/>
              </w:rPr>
            </w:pPr>
            <w:r>
              <w:rPr>
                <w:rFonts w:ascii="Arial" w:cs="Arial" w:eastAsia="Arial" w:hAnsi="Arial"/>
                <w:sz w:val="18"/>
                <w:szCs w:val="18"/>
                <w:color w:val="auto"/>
                <w:w w:val="91"/>
              </w:rPr>
              <w:t>0.07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6"/>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3"/>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3"/>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5"/>
              </w:rPr>
              <w:t>1.38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1"/>
              </w:rPr>
              <w:t>1.35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(previously defined and used as described above) for the nine months ended September 30, 2022 was $76.2 million, representing an increase of $13.3 million, or 21.1%, from $62.9 million for the nine months ended September 30, 2021. The increase in Adjusted EBITDA was primarily due to the increase in Net Income discussed above and the higher net effect of the adjusting items detailed in the table below.</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3"/>
              </w:rPr>
              <w:t>Nine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33,711</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11,605</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67,776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55,919</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Loss on bank closure (b)</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(c)</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charges and expenses (d)</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62,894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hanging="331"/>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losses related to the closure of a financial institution in Mexico during 2021.</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primarily professional and legal fees related to business acquisition transactions.</w:t>
      </w:r>
    </w:p>
    <w:p>
      <w:pPr>
        <w:spacing w:after="0" w:line="9" w:lineRule="exact"/>
        <w:rPr>
          <w:rFonts w:ascii="Arial" w:cs="Arial" w:eastAsia="Arial" w:hAnsi="Arial"/>
          <w:sz w:val="18"/>
          <w:szCs w:val="18"/>
          <w:color w:val="auto"/>
        </w:rPr>
      </w:pPr>
    </w:p>
    <w:p>
      <w:pPr>
        <w:ind w:left="420" w:right="80" w:hanging="331"/>
        <w:spacing w:after="0" w:line="260" w:lineRule="auto"/>
        <w:tabs>
          <w:tab w:leader="none" w:pos="4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including a write-off of software development expenditures in an amount of $1.0 million during the nine months ended September 30, 2021 (none in 2022) and foreign currency (gains) losses.</w:t>
      </w: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liquidity in terms of our cash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funded and still expect to continue funding our liquidity requirements through internally generated funds, supplemented in the ordinary course, with borrowings under our revolving credit facility. We maintain a strong cash balance position and have access to committed funding sources, which we have used only on a limited and ordinary course basis during the nine months ended September 30, 2022. Therefore, we believe that our current cash position, as well as projected cash flows generated from operations, together with borrowings under our revolving credit facility are sufficient to fund our principal and interest payments, lease expenses, our working capital needs, business acquisitions and our expected capital expenditures for at least the next twelve months.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24, 2021, 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2022, we had total indebtedness of $125.0 million, consisting of borrowings under the term loan facility and revolving credit facility, excluding debt origination costs of $1.8 million. As of September 30, 2022 there was $43.0 million drawn on the revolving credit facility (none as of December 31, 2021). There were $177.0 million of additional borrowings available under these facilities as of September 30, 2022.</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or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nine months ended September 30, 2022 for the term loan facility and revolving credit facility were 4.18% and 0.80%, respectively. Interest is payable (x)(i) generally on the last day of each interest period selected for LIBOR loans, but in any event, not less frequently than every three months, and (ii) on the last business day of each quarter for base rate loans and (y) at final maturity. The A&amp;R Credit Agreement contains provisions for the replacement of the benchmark for interest rates in light of the cessation of the publication of LIBOR rates.</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A&amp;R Credit Agreement contains financial covenants that require the Company to maintain a quarterly minimum fixed charge coverage ratio of 1.25:1.00 and a quarterly maximum consolidated leverage ratio of 3.25:1.00. As of September 30, 2022, we were in compliance with the covenants of the A&amp;R Credit Agreement.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 Through September 30, 2022 and in connection with the Repurchase Program and a private repurchase transaction, as described in Note 12, the Company funded repurchases of shares of the Company’s common stock in an aggregate amount of $40.0 million plus the Available Amount.</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amount of indebtedness, which may limit our operating flexibility and could adversely affect our business, financial condition and results of operations.” </w:t>
      </w:r>
      <w:r>
        <w:rPr>
          <w:rFonts w:ascii="Arial" w:cs="Arial" w:eastAsia="Arial" w:hAnsi="Arial"/>
          <w:sz w:val="18"/>
          <w:szCs w:val="18"/>
          <w:color w:val="auto"/>
        </w:rPr>
        <w:t>included in our Annual Report on Form 10-K for the year ended December 31, 2021.</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Repurchase Program</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nine months ended September 30, 2022, the Company purchased 2,015,615 shares for an aggregate purchase price of $43.7 million. As of September 30, 2022, there were no amounts remaining amount available for future share repurchases under the Repurchase Program. As of September 30, 2022, there were $18.3 million remaining amount available for future share repurchases under the Repurchase Program. The share repurchases under the Repurchase Program and the privately-negotiated transaction totaled $49.3 million through September 30, 2022.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Privately-Negotiated Share Repurchase Transaction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9, 2022, the Company entered into an agreement with SPC Intermex, LP for the purchase of 1,172,485 shares of the Company’s common stock for a total purchase price of $27.6 million, or a per share price of $23.50, in a privately-negotiated transaction.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Leases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are party to operating leases for office space, warehouses and Company-operated store locations, which we use as part of our day-to-day operations. Operating lease expenses were $0.6 million and $1.6 million for the three and nine months ended September 30, 2022, which we expect to be consistent throughout the year. We have not entered into finance lease commitments. For additional information on operating lease obligations, refer to Note 6, </w:t>
      </w:r>
      <w:r>
        <w:rPr>
          <w:rFonts w:ascii="Arial" w:cs="Arial" w:eastAsia="Arial" w:hAnsi="Arial"/>
          <w:sz w:val="18"/>
          <w:szCs w:val="18"/>
          <w:i w:val="1"/>
          <w:iCs w:val="1"/>
          <w:color w:val="auto"/>
        </w:rPr>
        <w:t>Leases</w:t>
      </w:r>
      <w:r>
        <w:rPr>
          <w:rFonts w:ascii="Arial" w:cs="Arial" w:eastAsia="Arial" w:hAnsi="Arial"/>
          <w:sz w:val="18"/>
          <w:szCs w:val="18"/>
          <w:color w:val="auto"/>
        </w:rPr>
        <w:t>, to the Condensed Consolidated Financial Statements.</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to our cash flows for the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Cash Flows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97471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exchange rate changes on cash</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(decrease)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end of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Nine Months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445"/>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(9,848)</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60,705</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(5,523)</w:t>
            </w:r>
          </w:p>
        </w:tc>
      </w:tr>
      <w:tr>
        <w:trPr>
          <w:trHeight w:val="229"/>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(4,733)</w:t>
            </w:r>
          </w:p>
        </w:tc>
      </w:tr>
      <w:tr>
        <w:trPr>
          <w:trHeight w:val="237"/>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50,225</w:t>
            </w:r>
          </w:p>
        </w:tc>
      </w:tr>
      <w:tr>
        <w:trPr>
          <w:trHeight w:val="492"/>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r>
      <w:tr>
        <w:trPr>
          <w:trHeight w:val="229"/>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125,132</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0" w:lineRule="exact"/>
        <w:rPr>
          <w:sz w:val="20"/>
          <w:szCs w:val="20"/>
          <w:color w:val="auto"/>
        </w:rPr>
      </w:pPr>
    </w:p>
    <w:p>
      <w:pPr>
        <w:sectPr>
          <w:pgSz w:w="11900" w:h="16838" w:orient="portrait"/>
          <w:cols w:equalWidth="0" w:num="2">
            <w:col w:w="5520" w:space="720"/>
            <w:col w:w="5000"/>
          </w:cols>
          <w:pgMar w:left="320" w:top="125" w:right="339" w:bottom="1440" w:gutter="0" w:footer="0" w:header="0"/>
          <w:type w:val="continuous"/>
        </w:sectPr>
      </w:pPr>
    </w:p>
    <w:p>
      <w:pPr>
        <w:spacing w:after="0" w:line="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operating activities was $9.8 million for the nine months ended September 30, 2022, a decrease of $70.5 million from net cash provided by operating activities of $60.7 million for the nine months ended September 30, 2021. The decrease is primarily a result of a $83.0 million change in working capital, which varies due to timing of transmittal orders and payments, as well as prefunding of payers primarily during weekends such as it was on September 30, 2022. The changes in working capital were offset by additional cash generated by our operating results for the nine months ended September 30, 2022, resulting from the further growth of the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investing activities was $9.4 million for the nine months ended September 30, 2022, representing an increase of $3.9 million from net cash used in investing activities of $5.5 million for the nine months ended September 30, 2021. This increase was primarily due to higher purchases of computer equipment during the nine months ended September 30, 2022 as a result of the continued expansion of our business, as well as upgrades of equipment used by our sending agent network. In addition, the Company acquired an agent location during the nine months ended September 30, 2022 (none in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used in financing activities was $8.0 million for the nine months ended September 30, 2022, which primarily consisted of $3.3 million in scheduled quarterly payments due on the term loan facility, $43.7 million used for repurchases of common stock and $5.3 million of payments for stock-based awards for shares withheld for tax payments in connection with share-based compensation arrangements, offset by $43.0 of borrowings, net under the revolving credit facility and $1.4 million in proceeds from issuance of stock as a result of the exercise of stock options.</w:t>
      </w:r>
    </w:p>
    <w:p>
      <w:pPr>
        <w:spacing w:after="0" w:line="19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cash used in financing activities was $4.7 million for the nine months ended September 30, 2021, which primarily consisted of a $43.1 million repayment on the term loan facility and $2.9 million of debt origination costs in connection with the refinancing of the Company’s previous credit agreement, and a $2.9 million scheduled quarterly payment due on the term loan facility, offset by $40.2 million borrowings in connection with the refinancing of the Company’s previous credit agreement and $3.2 million in proceeds from issuance of stock as a result of the exercise of stock options.</w:t>
      </w:r>
    </w:p>
    <w:p>
      <w:pPr>
        <w:spacing w:after="0" w:line="200" w:lineRule="exact"/>
        <w:rPr>
          <w:sz w:val="20"/>
          <w:szCs w:val="20"/>
          <w:color w:val="auto"/>
        </w:rPr>
      </w:pPr>
    </w:p>
    <w:p>
      <w:pPr>
        <w:spacing w:after="0" w:line="2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Arial" w:cs="Arial" w:eastAsia="Arial" w:hAnsi="Arial"/>
          <w:sz w:val="18"/>
          <w:szCs w:val="18"/>
          <w:i w:val="1"/>
          <w:iCs w:val="1"/>
          <w:color w:val="auto"/>
        </w:rPr>
        <w:t>Management’s Discussion and Analysis of Financial Condition and Results of Operations - Critical Accounting Policies and Estimates</w:t>
      </w:r>
      <w:r>
        <w:rPr>
          <w:rFonts w:ascii="Arial" w:cs="Arial" w:eastAsia="Arial" w:hAnsi="Arial"/>
          <w:sz w:val="18"/>
          <w:szCs w:val="18"/>
          <w:color w:val="auto"/>
        </w:rPr>
        <w:t>” in our Annual Report on Form 10-K for the year ended December 31, 2021, for which there were no material changes during the three and nine months ended September 30, 2022, included the following:</w:t>
      </w:r>
    </w:p>
    <w:p>
      <w:pPr>
        <w:spacing w:after="0" w:line="219" w:lineRule="exact"/>
        <w:rPr>
          <w:sz w:val="20"/>
          <w:szCs w:val="20"/>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Accounts Receivable and Allowance for Credit Losses</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Business and Accounting Policies</w:t>
      </w:r>
      <w:r>
        <w:rPr>
          <w:rFonts w:ascii="Arial" w:cs="Arial" w:eastAsia="Arial" w:hAnsi="Arial"/>
          <w:sz w:val="18"/>
          <w:szCs w:val="18"/>
          <w:color w:val="auto"/>
        </w:rPr>
        <w:t>, of the Condensed Consolidated Financial Statements for information on recent accounting pronouncements.</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$58.0 million and $48.6 million at September 30, 2022 and December 31, 2021, respectively.</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included in wire transfers and money orders payable, net in our condensed consolidated balance sheets as of September 30, 2022 and December 31, 2021, there are $26.7 million and $17.8 million, respectively, of wires payable denominated in foreign currencies, primarily Mexican pesos and Guatemalan quetzales.</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Also, included in prepaid wires, net in our condensed consolidated balance sheets as of September 30, 2022 and December 31, 2021, there are $100.2 million and $39.7 million, respectively, of prepaid wires denominated in foreign currencies, primarily Mexican pesos and Guatemalan quetzales.</w:t>
      </w:r>
    </w:p>
    <w:p>
      <w:pPr>
        <w:spacing w:after="0" w:line="15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nine months ended September 30, 2022. Therefore, a 10% increase or decrease in these currency rates against the U.S. Dollar would result in a de minimis change to our overall operating results.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Mexico, Guatemala and Canada currencies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spacing w:after="0"/>
              <w:rPr>
                <w:sz w:val="19"/>
                <w:szCs w:val="19"/>
                <w:color w:val="auto"/>
              </w:rPr>
            </w:pPr>
          </w:p>
        </w:tc>
      </w:tr>
      <w:tr>
        <w:trPr>
          <w:trHeight w:val="245"/>
        </w:trPr>
        <w:tc>
          <w:tcPr>
            <w:tcW w:w="3940" w:type="dxa"/>
            <w:vAlign w:val="bottom"/>
          </w:tcPr>
          <w:p>
            <w:pPr>
              <w:spacing w:after="0"/>
              <w:rPr>
                <w:sz w:val="21"/>
                <w:szCs w:val="21"/>
                <w:color w:val="auto"/>
              </w:rPr>
            </w:pPr>
          </w:p>
        </w:tc>
        <w:tc>
          <w:tcPr>
            <w:tcW w:w="1480" w:type="dxa"/>
            <w:vAlign w:val="bottom"/>
            <w:gridSpan w:val="3"/>
          </w:tcPr>
          <w:p>
            <w:pPr>
              <w:jc w:val="right"/>
              <w:ind w:right="62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300" w:type="dxa"/>
            <w:vAlign w:val="bottom"/>
            <w:gridSpan w:val="2"/>
          </w:tcPr>
          <w:p>
            <w:pPr>
              <w:ind w:left="60"/>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c>
          <w:tcPr>
            <w:tcW w:w="1480" w:type="dxa"/>
            <w:vAlign w:val="bottom"/>
            <w:gridSpan w:val="3"/>
          </w:tcPr>
          <w:p>
            <w:pPr>
              <w:jc w:val="right"/>
              <w:ind w:right="64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20" w:type="dxa"/>
            <w:vAlign w:val="bottom"/>
          </w:tcPr>
          <w:p>
            <w:pPr>
              <w:jc w:val="right"/>
              <w:ind w:right="130"/>
              <w:spacing w:after="0" w:line="237" w:lineRule="exact"/>
              <w:rPr>
                <w:sz w:val="20"/>
                <w:szCs w:val="20"/>
                <w:color w:val="auto"/>
              </w:rPr>
            </w:pPr>
            <w:r>
              <w:rPr>
                <w:rFonts w:ascii="Arial" w:cs="Arial" w:eastAsia="Arial" w:hAnsi="Arial"/>
                <w:sz w:val="18"/>
                <w:szCs w:val="18"/>
                <w:b w:val="1"/>
                <w:bCs w:val="1"/>
                <w:color w:val="auto"/>
                <w:w w:val="86"/>
              </w:rPr>
              <w:t>Average</w:t>
            </w:r>
            <w:r>
              <w:rPr>
                <w:rFonts w:ascii="Arial" w:cs="Arial" w:eastAsia="Arial" w:hAnsi="Arial"/>
                <w:sz w:val="23"/>
                <w:szCs w:val="23"/>
                <w:b w:val="1"/>
                <w:bCs w:val="1"/>
                <w:color w:val="auto"/>
                <w:w w:val="86"/>
                <w:vertAlign w:val="superscript"/>
              </w:rPr>
              <w:t>(2)</w:t>
            </w:r>
          </w:p>
        </w:tc>
      </w:tr>
      <w:tr>
        <w:trPr>
          <w:trHeight w:val="23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U.S. dollar/Guatemala Quetzal</w:t>
            </w:r>
          </w:p>
        </w:tc>
        <w:tc>
          <w:tcPr>
            <w:tcW w:w="120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46"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September 30, 2022 and December 31, 2021.</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nine months ended September 30, 2022 and 2021.</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sustained appreciation of the Mexican peso or Guatemalan quetzal as compared to the U.S. dollar could affect our profit margins.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 The A&amp;R Credit Agreement contains provisions for the replacement of the benchmark for interest rates in light of the cessation of the publication of LIBOR rates.</w:t>
      </w:r>
    </w:p>
    <w:p>
      <w:pPr>
        <w:spacing w:after="0" w:line="20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As of September 30, 2022, we had $125.0 million in outstanding borrowings under the term loan and revolving credit facilities. A hypothetical 1% increase or decrease in the interest rate on our indebtedness as of September 30, 2022 would have increased or decreased cash interest expense on our term loan facility and revolving credit facility by approximately $0.8 million and $0.4 million per annum,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maintain certain cash balances in various U.S. banks, which at times, may exceed federally insured limits. We have not incurred any losses on these accounts. In addition, we maintain various bank accounts in Mexico, Guatemala and Canada, which are not fully insured. During the nine months ended September 30, 2022, we have not incurred any new losses on these accounts. However, during the three months ended September 30, 2022, as a result of management’s reassessment of the current status of the liquidation process of a previously closed financial institution in Mexico, which has been delayed in the court system, the Company recorded an additional provision of $1.6 million on the balance outstanding of deposits frozen at the closed financial institution.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also exposed to credit risk related to receivable balances from sending agents. We perform a credit review before each agent signing and conduct ongoing analyses of sending agents and certain other parties we transact with directly. As of September 30, 2022, we also had $3.0 million outstanding of agent advances receivable from sending agents. Most of the agent advances receivable are collateralized by personal guarantees from the sending agents and by assets from their businesses. Due to the COVID-19 pandemic as well as other factors, it is possible we could be adversely affected by credit losses, such as those related to our outstanding agent advances receivable from sending agents. At the date of this report, however, we are not aware of any significant exposure and we continue monitoring our credit risk.</w:t>
      </w:r>
    </w:p>
    <w:p>
      <w:pPr>
        <w:spacing w:after="0" w:line="20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provision for credit losses was approximately $2.0 million for the nine months ended September 30, 2022 (0.5% of total revenues) and $1.0 million for the nine months ended September 30, 2021 (0.3% of total revenues). The increase in our provision for credit losses in the nine months ended September 30, 2022 is due to higher write-offs of accounts receivable in 2022 compared to 2021 primarily as a result of sending agents that were not able to pay in accordance with the original terms and are, accordingly, subject to our normal collection procedures.</w:t>
      </w: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President, and Chief Financial Officer, carried out an evaluation of the effectiveness of our disclosure controls and procedures as of September 30, 2022.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September 30,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Note 15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2021 (the “2021 Form 10-K”). Prospective investors are encouraged to consider the risks described in our 2021 Form 10-K, our Management’s Discussion and Analysis of Financial Condition and Results of Operations contained in this Quarterly Report on Form 10-Q and in our 2021 Form 10-K, and other information publicly disclosed or contained in documents we file with the Securities and Exchange Commission before purchasing our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repurchases of our common stock during the quarter ended September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6"/>
                <w:szCs w:val="16"/>
                <w:color w:val="auto"/>
              </w:rPr>
            </w:pPr>
          </w:p>
        </w:tc>
        <w:tc>
          <w:tcPr>
            <w:tcW w:w="236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4"/>
              </w:rPr>
              <w:t>Approximate Dollar Value of</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189"/>
        </w:trPr>
        <w:tc>
          <w:tcPr>
            <w:tcW w:w="3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16"/>
                <w:szCs w:val="16"/>
                <w:color w:val="auto"/>
              </w:rPr>
            </w:pPr>
          </w:p>
        </w:tc>
        <w:tc>
          <w:tcPr>
            <w:tcW w:w="170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90"/>
              </w:rPr>
              <w:t>Average Price Paid</w:t>
            </w: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4"/>
              </w:rPr>
              <w:t>Program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36"/>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per Share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through July 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18,253,402</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August 1 through August 31</w:t>
            </w:r>
          </w:p>
        </w:tc>
        <w:tc>
          <w:tcPr>
            <w:tcW w:w="1980" w:type="dxa"/>
            <w:vAlign w:val="bottom"/>
          </w:tcPr>
          <w:p>
            <w:pPr>
              <w:jc w:val="right"/>
              <w:spacing w:after="0"/>
              <w:rPr>
                <w:sz w:val="20"/>
                <w:szCs w:val="20"/>
                <w:color w:val="auto"/>
              </w:rPr>
            </w:pPr>
            <w:r>
              <w:rPr>
                <w:rFonts w:ascii="Arial" w:cs="Arial" w:eastAsia="Arial" w:hAnsi="Arial"/>
                <w:sz w:val="18"/>
                <w:szCs w:val="18"/>
                <w:color w:val="auto"/>
              </w:rPr>
              <w:t>1,669,058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18,253,402</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 through September 30</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18,253,402</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hanging="328"/>
        <w:spacing w:after="0" w:line="287" w:lineRule="auto"/>
        <w:tabs>
          <w:tab w:leader="none" w:pos="65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115,229 shares purchased in July under the Repurchase Program (as defined below) and 496,573 shares withheld for income tax purposes in August 2022, in connection with shares issued under compensation and benefit programs. In addition, in August 2022, the Company repurchased 1,172,485 shares at a price of $23.50 per share in a privately negotiated transaction outside of the Repurchase Program.</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August 18, 2021, the Company’s Board of Directors approved a stock repurchase program (the “Repurchase Program”) that authorizes the Company to purchase up to $40.0 million of outstanding shares of the Company’s common stock. The Repurchase Program does not have an expiration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760" w:type="dxa"/>
            <w:vAlign w:val="bottom"/>
          </w:tcPr>
          <w:p>
            <w:pPr>
              <w:ind w:left="220"/>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120" w:type="dxa"/>
            <w:vAlign w:val="bottom"/>
            <w:gridSpan w:val="3"/>
            <w:vMerge w:val="restart"/>
            <w:shd w:val="clear" w:color="auto" w:fill="CCEEFF"/>
          </w:tcPr>
          <w:p>
            <w:pPr>
              <w:ind w:left="20"/>
              <w:spacing w:after="0"/>
              <w:rPr>
                <w:rFonts w:ascii="Arial" w:cs="Arial" w:eastAsia="Arial" w:hAnsi="Arial"/>
                <w:sz w:val="18"/>
                <w:szCs w:val="18"/>
                <w:color w:val="0000FF"/>
              </w:rPr>
            </w:pPr>
            <w:hyperlink r:id="rId71">
              <w:r>
                <w:rPr>
                  <w:rFonts w:ascii="Arial" w:cs="Arial" w:eastAsia="Arial" w:hAnsi="Arial"/>
                  <w:sz w:val="18"/>
                  <w:szCs w:val="18"/>
                  <w:color w:val="0000FF"/>
                </w:rPr>
                <w:t>10.</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Share Repurchase Agreement, dated August 9, 2022, between International Money Express, Inc. and SPC Intermex,</w:t>
            </w:r>
          </w:p>
        </w:tc>
        <w:tc>
          <w:tcPr>
            <w:tcW w:w="0" w:type="dxa"/>
            <w:vAlign w:val="bottom"/>
          </w:tcPr>
          <w:p>
            <w:pPr>
              <w:spacing w:after="0"/>
              <w:rPr>
                <w:sz w:val="1"/>
                <w:szCs w:val="1"/>
                <w:color w:val="auto"/>
              </w:rPr>
            </w:pPr>
          </w:p>
        </w:tc>
      </w:tr>
      <w:tr>
        <w:trPr>
          <w:trHeight w:val="189"/>
        </w:trPr>
        <w:tc>
          <w:tcPr>
            <w:tcW w:w="1120" w:type="dxa"/>
            <w:vAlign w:val="bottom"/>
            <w:gridSpan w:val="3"/>
            <w:vMerge w:val="continue"/>
            <w:shd w:val="clear" w:color="auto" w:fill="CCEEFF"/>
          </w:tcPr>
          <w:p>
            <w:pPr>
              <w:spacing w:after="0"/>
              <w:rPr>
                <w:sz w:val="16"/>
                <w:szCs w:val="16"/>
                <w:color w:val="auto"/>
              </w:rPr>
            </w:pP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5"/>
              </w:rPr>
              <w:t>LP (incorporated by reference to Exhibit 10.1 to the Registrant’s Current Report on Form 8-K filed on August 10,</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Executive Officer</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Financial Officer</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Executive Officer pursuant to 18 U.S.C. § 1350.</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Financial Officer pursuant to 18 U.S.C. § 1350.</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101.INS</w:t>
            </w: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w w:val="95"/>
              </w:rPr>
              <w:t>The cover page from the Company’s Quarterly Report on Form 10-Q for the quarter ended September 30,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6266180"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66180" cy="3003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0"/>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1"/>
              </w:rPr>
              <w:t>104*</w:t>
            </w:r>
          </w:p>
        </w:tc>
        <w:tc>
          <w:tcPr>
            <w:tcW w:w="5600" w:type="dxa"/>
            <w:vAlign w:val="bottom"/>
            <w:vMerge w:val="restart"/>
          </w:tcPr>
          <w:p>
            <w:pPr>
              <w:ind w:left="480"/>
              <w:spacing w:after="0"/>
              <w:rPr>
                <w:sz w:val="20"/>
                <w:szCs w:val="20"/>
                <w:color w:val="auto"/>
              </w:rPr>
            </w:pPr>
            <w:r>
              <w:rPr>
                <w:rFonts w:ascii="Arial" w:cs="Arial" w:eastAsia="Arial" w:hAnsi="Arial"/>
                <w:sz w:val="18"/>
                <w:szCs w:val="18"/>
                <w:color w:val="auto"/>
                <w:w w:val="93"/>
              </w:rPr>
              <w:t>formatted in Inline XBRL (included with the Exhibit 101 attachments).</w:t>
            </w:r>
          </w:p>
        </w:tc>
        <w:tc>
          <w:tcPr>
            <w:tcW w:w="0" w:type="dxa"/>
            <w:vAlign w:val="bottom"/>
          </w:tcPr>
          <w:p>
            <w:pPr>
              <w:spacing w:after="0"/>
              <w:rPr>
                <w:sz w:val="1"/>
                <w:szCs w:val="1"/>
                <w:color w:val="auto"/>
              </w:rPr>
            </w:pPr>
          </w:p>
        </w:tc>
      </w:tr>
      <w:tr>
        <w:trPr>
          <w:trHeight w:val="79"/>
        </w:trPr>
        <w:tc>
          <w:tcPr>
            <w:tcW w:w="840" w:type="dxa"/>
            <w:vAlign w:val="bottom"/>
          </w:tcPr>
          <w:p>
            <w:pPr>
              <w:spacing w:after="0"/>
              <w:rPr>
                <w:sz w:val="6"/>
                <w:szCs w:val="6"/>
                <w:color w:val="auto"/>
              </w:rPr>
            </w:pPr>
          </w:p>
        </w:tc>
        <w:tc>
          <w:tcPr>
            <w:tcW w:w="5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0" w:right="8639" w:firstLine="9"/>
        <w:spacing w:after="0" w:line="274" w:lineRule="auto"/>
        <w:tabs>
          <w:tab w:leader="none" w:pos="318"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Filed herewith. ** Previously filed.</w:t>
      </w:r>
    </w:p>
    <w:p>
      <w:pPr>
        <w:ind w:left="80"/>
        <w:spacing w:after="0"/>
        <w:rPr>
          <w:rFonts w:ascii="Arial" w:cs="Arial" w:eastAsia="Arial" w:hAnsi="Arial"/>
          <w:sz w:val="17"/>
          <w:szCs w:val="17"/>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0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Robert Lisy</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Andras Bende</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25"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25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38" w:lineRule="exact"/>
        <w:rPr>
          <w:rFonts w:ascii="Arial" w:cs="Arial" w:eastAsia="Arial" w:hAnsi="Arial"/>
          <w:sz w:val="18"/>
          <w:szCs w:val="18"/>
          <w:color w:val="auto"/>
        </w:rPr>
      </w:pPr>
    </w:p>
    <w:p>
      <w:pPr>
        <w:jc w:val="both"/>
        <w:ind w:left="660" w:hanging="652"/>
        <w:spacing w:after="0" w:line="3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660" w:hanging="652"/>
        <w:spacing w:after="0" w:line="407"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660" w:hanging="652"/>
        <w:spacing w:after="0" w:line="3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8"/>
          <w:szCs w:val="18"/>
          <w:color w:val="auto"/>
        </w:rPr>
      </w:pPr>
    </w:p>
    <w:p>
      <w:pPr>
        <w:jc w:val="both"/>
        <w:ind w:left="1300" w:hanging="644"/>
        <w:spacing w:after="0" w:line="350"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8"/>
          <w:szCs w:val="18"/>
          <w:color w:val="auto"/>
        </w:rPr>
      </w:pPr>
    </w:p>
    <w:p>
      <w:pPr>
        <w:jc w:val="both"/>
        <w:ind w:left="1300" w:hanging="644"/>
        <w:spacing w:after="0" w:line="35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8"/>
          <w:szCs w:val="18"/>
          <w:color w:val="auto"/>
        </w:rPr>
      </w:pPr>
    </w:p>
    <w:p>
      <w:pPr>
        <w:ind w:left="1300" w:hanging="644"/>
        <w:spacing w:after="0" w:line="447" w:lineRule="auto"/>
        <w:tabs>
          <w:tab w:leader="none" w:pos="129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Arial" w:cs="Arial" w:eastAsia="Arial" w:hAnsi="Arial"/>
          <w:sz w:val="16"/>
          <w:szCs w:val="16"/>
          <w:color w:val="auto"/>
        </w:rPr>
      </w:pPr>
    </w:p>
    <w:p>
      <w:pPr>
        <w:jc w:val="both"/>
        <w:ind w:left="1300" w:hanging="644"/>
        <w:spacing w:after="0" w:line="350"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8"/>
          <w:szCs w:val="18"/>
          <w:color w:val="auto"/>
        </w:rPr>
      </w:pPr>
    </w:p>
    <w:p>
      <w:pPr>
        <w:ind w:left="660" w:hanging="652"/>
        <w:spacing w:after="0" w:line="390"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hanging="644"/>
        <w:spacing w:after="0" w:line="390" w:lineRule="auto"/>
        <w:tabs>
          <w:tab w:leader="none" w:pos="12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300" w:hanging="644"/>
        <w:spacing w:after="0" w:line="37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2022</w:t>
      </w:r>
    </w:p>
    <w:p>
      <w:pPr>
        <w:spacing w:after="0" w:line="50"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Lisy</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Robert Lisy</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24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Andras Bende, certify that:</w:t>
      </w:r>
    </w:p>
    <w:p>
      <w:pPr>
        <w:spacing w:after="0" w:line="23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34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660" w:hanging="652"/>
        <w:spacing w:after="0" w:line="390"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jc w:val="both"/>
        <w:ind w:left="660" w:hanging="652"/>
        <w:spacing w:after="0" w:line="3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8"/>
          <w:szCs w:val="18"/>
          <w:color w:val="auto"/>
        </w:rPr>
      </w:pPr>
    </w:p>
    <w:p>
      <w:pPr>
        <w:jc w:val="both"/>
        <w:ind w:left="1300" w:hanging="644"/>
        <w:spacing w:after="0" w:line="350"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ind w:left="1300" w:hanging="644"/>
        <w:spacing w:after="0" w:line="430" w:lineRule="auto"/>
        <w:tabs>
          <w:tab w:leader="none" w:pos="129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644"/>
        <w:spacing w:after="0" w:line="350"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8"/>
          <w:szCs w:val="18"/>
          <w:color w:val="auto"/>
        </w:rPr>
      </w:pPr>
    </w:p>
    <w:p>
      <w:pPr>
        <w:ind w:left="660" w:hanging="652"/>
        <w:spacing w:after="0" w:line="407"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1300" w:hanging="644"/>
        <w:spacing w:after="0" w:line="407" w:lineRule="auto"/>
        <w:tabs>
          <w:tab w:leader="none" w:pos="129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300" w:hanging="644"/>
        <w:spacing w:after="0" w:line="355"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2022</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Andras Bende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27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1" w:lineRule="exact"/>
        <w:rPr>
          <w:sz w:val="20"/>
          <w:szCs w:val="20"/>
          <w:color w:val="auto"/>
        </w:rPr>
      </w:pPr>
    </w:p>
    <w:p>
      <w:pPr>
        <w:spacing w:after="0" w:line="418"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0" w:lineRule="exact"/>
        <w:rPr>
          <w:sz w:val="20"/>
          <w:szCs w:val="20"/>
          <w:color w:val="auto"/>
        </w:rPr>
      </w:pPr>
    </w:p>
    <w:p>
      <w:pPr>
        <w:ind w:left="660" w:hanging="652"/>
        <w:spacing w:after="0" w:line="41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2022</w:t>
      </w:r>
    </w:p>
    <w:p>
      <w:pPr>
        <w:spacing w:after="0" w:line="279"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Lisy</w:t>
            </w: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27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1" w:lineRule="exact"/>
        <w:rPr>
          <w:sz w:val="20"/>
          <w:szCs w:val="20"/>
          <w:color w:val="auto"/>
        </w:rPr>
      </w:pPr>
    </w:p>
    <w:p>
      <w:pPr>
        <w:spacing w:after="0" w:line="418" w:lineRule="auto"/>
        <w:rPr>
          <w:sz w:val="20"/>
          <w:szCs w:val="20"/>
          <w:color w:val="auto"/>
        </w:rPr>
      </w:pPr>
      <w:r>
        <w:rPr>
          <w:rFonts w:ascii="Arial" w:cs="Arial" w:eastAsia="Arial" w:hAnsi="Arial"/>
          <w:sz w:val="18"/>
          <w:szCs w:val="18"/>
          <w:color w:val="auto"/>
        </w:rPr>
        <w:t>I, Andras Bende, Chief Financial Officer of International Money Express, Inc. (the “Company”), certify, pursuant to 18 U.S.C. Section 1350, that, to my knowledge:</w:t>
      </w:r>
    </w:p>
    <w:p>
      <w:pPr>
        <w:spacing w:after="0" w:line="170" w:lineRule="exact"/>
        <w:rPr>
          <w:sz w:val="20"/>
          <w:szCs w:val="20"/>
          <w:color w:val="auto"/>
        </w:rPr>
      </w:pPr>
    </w:p>
    <w:p>
      <w:pPr>
        <w:ind w:left="660" w:hanging="652"/>
        <w:spacing w:after="0" w:line="41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2022</w:t>
      </w:r>
    </w:p>
    <w:p>
      <w:pPr>
        <w:spacing w:after="0" w:line="320" w:lineRule="exact"/>
        <w:rPr>
          <w:sz w:val="20"/>
          <w:szCs w:val="20"/>
          <w:color w:val="auto"/>
        </w:rPr>
      </w:pPr>
    </w:p>
    <w:tbl>
      <w:tblPr>
        <w:tblLayout w:type="fixed"/>
        <w:tblInd w:w="558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1" Type="http://schemas.openxmlformats.org/officeDocument/2006/relationships/hyperlink" Target="http://www.sec.gov/Archives/edgar/data/1683695/000114036122028966/brhc1004064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2022-11-09T15:21:02Z</dcterms:created>
  <dcterms:modified xsi:type="dcterms:W3CDTF">2022-11-09T15:21:02Z</dcterms:modified>
</cp:coreProperties>
</file>